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F260B" w14:textId="215FEF7C" w:rsidR="00056679" w:rsidRPr="00B71422" w:rsidRDefault="007608F5" w:rsidP="007608F5">
      <w:pPr>
        <w:jc w:val="center"/>
        <w:rPr>
          <w:rFonts w:ascii="Arial" w:hAnsi="Arial" w:cs="Arial"/>
          <w:b/>
          <w:bCs/>
          <w:sz w:val="28"/>
          <w:szCs w:val="28"/>
        </w:rPr>
      </w:pPr>
      <w:r w:rsidRPr="00B71422">
        <w:rPr>
          <w:rFonts w:ascii="Arial" w:hAnsi="Arial" w:cs="Arial"/>
          <w:b/>
          <w:bCs/>
          <w:sz w:val="28"/>
          <w:szCs w:val="28"/>
        </w:rPr>
        <w:t>T</w:t>
      </w:r>
      <w:r w:rsidR="00D00EC3">
        <w:rPr>
          <w:rFonts w:ascii="Arial" w:hAnsi="Arial" w:cs="Arial"/>
          <w:b/>
          <w:bCs/>
          <w:sz w:val="28"/>
          <w:szCs w:val="28"/>
        </w:rPr>
        <w:t xml:space="preserve"> </w:t>
      </w:r>
      <w:r w:rsidRPr="00B71422">
        <w:rPr>
          <w:rFonts w:ascii="Arial" w:hAnsi="Arial" w:cs="Arial"/>
          <w:b/>
          <w:bCs/>
          <w:sz w:val="28"/>
          <w:szCs w:val="28"/>
        </w:rPr>
        <w:t>Á</w:t>
      </w:r>
      <w:r w:rsidR="00D00EC3">
        <w:rPr>
          <w:rFonts w:ascii="Arial" w:hAnsi="Arial" w:cs="Arial"/>
          <w:b/>
          <w:bCs/>
          <w:sz w:val="28"/>
          <w:szCs w:val="28"/>
        </w:rPr>
        <w:t xml:space="preserve"> </w:t>
      </w:r>
      <w:r w:rsidRPr="00B71422">
        <w:rPr>
          <w:rFonts w:ascii="Arial" w:hAnsi="Arial" w:cs="Arial"/>
          <w:b/>
          <w:bCs/>
          <w:sz w:val="28"/>
          <w:szCs w:val="28"/>
        </w:rPr>
        <w:t>J</w:t>
      </w:r>
      <w:r w:rsidR="00D00EC3">
        <w:rPr>
          <w:rFonts w:ascii="Arial" w:hAnsi="Arial" w:cs="Arial"/>
          <w:b/>
          <w:bCs/>
          <w:sz w:val="28"/>
          <w:szCs w:val="28"/>
        </w:rPr>
        <w:t xml:space="preserve"> </w:t>
      </w:r>
      <w:r w:rsidRPr="00B71422">
        <w:rPr>
          <w:rFonts w:ascii="Arial" w:hAnsi="Arial" w:cs="Arial"/>
          <w:b/>
          <w:bCs/>
          <w:sz w:val="28"/>
          <w:szCs w:val="28"/>
        </w:rPr>
        <w:t>É</w:t>
      </w:r>
      <w:r w:rsidR="00D00EC3">
        <w:rPr>
          <w:rFonts w:ascii="Arial" w:hAnsi="Arial" w:cs="Arial"/>
          <w:b/>
          <w:bCs/>
          <w:sz w:val="28"/>
          <w:szCs w:val="28"/>
        </w:rPr>
        <w:t xml:space="preserve"> </w:t>
      </w:r>
      <w:r w:rsidRPr="00B71422">
        <w:rPr>
          <w:rFonts w:ascii="Arial" w:hAnsi="Arial" w:cs="Arial"/>
          <w:b/>
          <w:bCs/>
          <w:sz w:val="28"/>
          <w:szCs w:val="28"/>
        </w:rPr>
        <w:t>K</w:t>
      </w:r>
      <w:r w:rsidR="00D00EC3">
        <w:rPr>
          <w:rFonts w:ascii="Arial" w:hAnsi="Arial" w:cs="Arial"/>
          <w:b/>
          <w:bCs/>
          <w:sz w:val="28"/>
          <w:szCs w:val="28"/>
        </w:rPr>
        <w:t xml:space="preserve"> </w:t>
      </w:r>
      <w:r w:rsidRPr="00B71422">
        <w:rPr>
          <w:rFonts w:ascii="Arial" w:hAnsi="Arial" w:cs="Arial"/>
          <w:b/>
          <w:bCs/>
          <w:sz w:val="28"/>
          <w:szCs w:val="28"/>
        </w:rPr>
        <w:t>O</w:t>
      </w:r>
      <w:r w:rsidR="00D00EC3">
        <w:rPr>
          <w:rFonts w:ascii="Arial" w:hAnsi="Arial" w:cs="Arial"/>
          <w:b/>
          <w:bCs/>
          <w:sz w:val="28"/>
          <w:szCs w:val="28"/>
        </w:rPr>
        <w:t xml:space="preserve"> </w:t>
      </w:r>
      <w:r w:rsidRPr="00B71422">
        <w:rPr>
          <w:rFonts w:ascii="Arial" w:hAnsi="Arial" w:cs="Arial"/>
          <w:b/>
          <w:bCs/>
          <w:sz w:val="28"/>
          <w:szCs w:val="28"/>
        </w:rPr>
        <w:t>Z</w:t>
      </w:r>
      <w:r w:rsidR="00D00EC3">
        <w:rPr>
          <w:rFonts w:ascii="Arial" w:hAnsi="Arial" w:cs="Arial"/>
          <w:b/>
          <w:bCs/>
          <w:sz w:val="28"/>
          <w:szCs w:val="28"/>
        </w:rPr>
        <w:t xml:space="preserve"> </w:t>
      </w:r>
      <w:r w:rsidRPr="00B71422">
        <w:rPr>
          <w:rFonts w:ascii="Arial" w:hAnsi="Arial" w:cs="Arial"/>
          <w:b/>
          <w:bCs/>
          <w:sz w:val="28"/>
          <w:szCs w:val="28"/>
        </w:rPr>
        <w:t>T</w:t>
      </w:r>
      <w:r w:rsidR="00D00EC3">
        <w:rPr>
          <w:rFonts w:ascii="Arial" w:hAnsi="Arial" w:cs="Arial"/>
          <w:b/>
          <w:bCs/>
          <w:sz w:val="28"/>
          <w:szCs w:val="28"/>
        </w:rPr>
        <w:t xml:space="preserve"> </w:t>
      </w:r>
      <w:r w:rsidRPr="00B71422">
        <w:rPr>
          <w:rFonts w:ascii="Arial" w:hAnsi="Arial" w:cs="Arial"/>
          <w:b/>
          <w:bCs/>
          <w:sz w:val="28"/>
          <w:szCs w:val="28"/>
        </w:rPr>
        <w:t>A</w:t>
      </w:r>
      <w:r w:rsidR="00D00EC3">
        <w:rPr>
          <w:rFonts w:ascii="Arial" w:hAnsi="Arial" w:cs="Arial"/>
          <w:b/>
          <w:bCs/>
          <w:sz w:val="28"/>
          <w:szCs w:val="28"/>
        </w:rPr>
        <w:t xml:space="preserve"> </w:t>
      </w:r>
      <w:r w:rsidRPr="00B71422">
        <w:rPr>
          <w:rFonts w:ascii="Arial" w:hAnsi="Arial" w:cs="Arial"/>
          <w:b/>
          <w:bCs/>
          <w:sz w:val="28"/>
          <w:szCs w:val="28"/>
        </w:rPr>
        <w:t>T</w:t>
      </w:r>
      <w:r w:rsidR="00D00EC3">
        <w:rPr>
          <w:rFonts w:ascii="Arial" w:hAnsi="Arial" w:cs="Arial"/>
          <w:b/>
          <w:bCs/>
          <w:sz w:val="28"/>
          <w:szCs w:val="28"/>
        </w:rPr>
        <w:t xml:space="preserve"> </w:t>
      </w:r>
      <w:r w:rsidRPr="00B71422">
        <w:rPr>
          <w:rFonts w:ascii="Arial" w:hAnsi="Arial" w:cs="Arial"/>
          <w:b/>
          <w:bCs/>
          <w:sz w:val="28"/>
          <w:szCs w:val="28"/>
        </w:rPr>
        <w:t>Ó</w:t>
      </w:r>
    </w:p>
    <w:p w14:paraId="00885C15" w14:textId="4A429228" w:rsidR="007608F5" w:rsidRPr="00B71422" w:rsidRDefault="007608F5" w:rsidP="007608F5">
      <w:pPr>
        <w:jc w:val="center"/>
        <w:rPr>
          <w:rFonts w:ascii="Arial" w:hAnsi="Arial" w:cs="Arial"/>
          <w:sz w:val="20"/>
          <w:szCs w:val="20"/>
        </w:rPr>
      </w:pPr>
      <w:r w:rsidRPr="00B71422">
        <w:rPr>
          <w:rFonts w:ascii="Arial" w:hAnsi="Arial" w:cs="Arial"/>
          <w:sz w:val="20"/>
          <w:szCs w:val="20"/>
        </w:rPr>
        <w:t>A Pusztazámori Regionális Hulladékkezelő Központ területére történő belépés, behajtás és hulladékátvétel rendjéről</w:t>
      </w:r>
    </w:p>
    <w:p w14:paraId="2E0C3C26" w14:textId="77777777" w:rsidR="00384A28" w:rsidRDefault="00384A28" w:rsidP="00384A28">
      <w:pPr>
        <w:spacing w:after="0"/>
        <w:jc w:val="both"/>
        <w:rPr>
          <w:rFonts w:ascii="Arial" w:eastAsia="Arial" w:hAnsi="Arial" w:cs="Arial"/>
          <w:sz w:val="20"/>
          <w:szCs w:val="20"/>
        </w:rPr>
      </w:pPr>
    </w:p>
    <w:p w14:paraId="7B180E4F" w14:textId="583ED5EB" w:rsidR="00384A28" w:rsidRDefault="00384A28" w:rsidP="00384A28">
      <w:pPr>
        <w:spacing w:after="0"/>
        <w:jc w:val="both"/>
        <w:rPr>
          <w:rFonts w:ascii="Arial" w:eastAsia="Arial" w:hAnsi="Arial" w:cs="Arial"/>
          <w:sz w:val="20"/>
          <w:szCs w:val="20"/>
        </w:rPr>
      </w:pPr>
      <w:r>
        <w:rPr>
          <w:rFonts w:ascii="Arial" w:eastAsia="Arial" w:hAnsi="Arial" w:cs="Arial"/>
          <w:sz w:val="20"/>
          <w:szCs w:val="20"/>
        </w:rPr>
        <w:t xml:space="preserve">A </w:t>
      </w:r>
      <w:r w:rsidR="00A240DB">
        <w:rPr>
          <w:rFonts w:ascii="Arial" w:eastAsia="Arial" w:hAnsi="Arial" w:cs="Arial"/>
          <w:sz w:val="20"/>
          <w:szCs w:val="20"/>
        </w:rPr>
        <w:t>MOHU Budapest</w:t>
      </w:r>
      <w:r>
        <w:rPr>
          <w:rFonts w:ascii="Arial" w:eastAsia="Arial" w:hAnsi="Arial" w:cs="Arial"/>
          <w:sz w:val="20"/>
          <w:szCs w:val="20"/>
        </w:rPr>
        <w:t xml:space="preserve"> Zrt., mint a </w:t>
      </w:r>
      <w:r w:rsidRPr="00F045E4">
        <w:rPr>
          <w:rFonts w:ascii="Arial" w:hAnsi="Arial" w:cs="Arial"/>
          <w:sz w:val="20"/>
          <w:szCs w:val="20"/>
        </w:rPr>
        <w:t>Pusztazámori Regionális Hulladékkezelő Központ</w:t>
      </w:r>
      <w:r>
        <w:rPr>
          <w:rFonts w:ascii="Arial" w:hAnsi="Arial" w:cs="Arial"/>
          <w:sz w:val="20"/>
          <w:szCs w:val="20"/>
        </w:rPr>
        <w:t xml:space="preserve"> (PRHK)</w:t>
      </w:r>
      <w:r>
        <w:rPr>
          <w:rFonts w:ascii="Arial" w:eastAsia="Arial" w:hAnsi="Arial" w:cs="Arial"/>
          <w:sz w:val="20"/>
          <w:szCs w:val="20"/>
        </w:rPr>
        <w:t xml:space="preserve"> üzemeltetője (a továbbiakban Üzemeltető) az alábbi feltételeket alkalmazza </w:t>
      </w:r>
      <w:r w:rsidR="00A240DB">
        <w:rPr>
          <w:rFonts w:ascii="Arial" w:eastAsia="Arial" w:hAnsi="Arial" w:cs="Arial"/>
          <w:sz w:val="20"/>
          <w:szCs w:val="20"/>
        </w:rPr>
        <w:t xml:space="preserve">a </w:t>
      </w:r>
      <w:r>
        <w:rPr>
          <w:rFonts w:ascii="Arial" w:eastAsia="Arial" w:hAnsi="Arial" w:cs="Arial"/>
          <w:sz w:val="20"/>
          <w:szCs w:val="20"/>
        </w:rPr>
        <w:t>hulladékok</w:t>
      </w:r>
      <w:r w:rsidR="00A240DB">
        <w:rPr>
          <w:rFonts w:ascii="Arial" w:eastAsia="Arial" w:hAnsi="Arial" w:cs="Arial"/>
          <w:sz w:val="20"/>
          <w:szCs w:val="20"/>
        </w:rPr>
        <w:t xml:space="preserve"> létesítménybe történő</w:t>
      </w:r>
      <w:r>
        <w:rPr>
          <w:rFonts w:ascii="Arial" w:eastAsia="Arial" w:hAnsi="Arial" w:cs="Arial"/>
          <w:sz w:val="20"/>
          <w:szCs w:val="20"/>
        </w:rPr>
        <w:t xml:space="preserve"> beszállítása esetén. </w:t>
      </w:r>
    </w:p>
    <w:p w14:paraId="64E9E4CF" w14:textId="77777777" w:rsidR="00384A28" w:rsidRDefault="00384A28" w:rsidP="00384A28">
      <w:pPr>
        <w:spacing w:after="0"/>
        <w:jc w:val="both"/>
        <w:rPr>
          <w:rFonts w:ascii="Arial" w:eastAsia="Arial" w:hAnsi="Arial" w:cs="Arial"/>
          <w:sz w:val="20"/>
          <w:szCs w:val="20"/>
        </w:rPr>
      </w:pPr>
    </w:p>
    <w:p w14:paraId="7BFBB9A1" w14:textId="1CB0FF92" w:rsidR="00384A28" w:rsidRDefault="00384A28" w:rsidP="00384A28">
      <w:pPr>
        <w:spacing w:after="0"/>
        <w:jc w:val="both"/>
        <w:rPr>
          <w:rFonts w:ascii="Arial" w:eastAsia="Arial" w:hAnsi="Arial" w:cs="Arial"/>
          <w:b/>
          <w:bCs/>
          <w:sz w:val="20"/>
          <w:szCs w:val="20"/>
          <w:u w:val="single"/>
        </w:rPr>
      </w:pPr>
      <w:r w:rsidRPr="00F045E4">
        <w:rPr>
          <w:rFonts w:ascii="Arial" w:eastAsia="Arial" w:hAnsi="Arial" w:cs="Arial"/>
          <w:b/>
          <w:bCs/>
          <w:sz w:val="20"/>
          <w:szCs w:val="20"/>
          <w:u w:val="single"/>
        </w:rPr>
        <w:t xml:space="preserve">A jelen tájékoztatóban foglaltakat a </w:t>
      </w:r>
      <w:r w:rsidR="00A240DB">
        <w:rPr>
          <w:rFonts w:ascii="Arial" w:eastAsia="Arial" w:hAnsi="Arial" w:cs="Arial"/>
          <w:b/>
          <w:bCs/>
          <w:sz w:val="20"/>
          <w:szCs w:val="20"/>
          <w:u w:val="single"/>
        </w:rPr>
        <w:t>szerződött szállító/hulladék birtokos</w:t>
      </w:r>
      <w:r w:rsidRPr="00F045E4">
        <w:rPr>
          <w:rFonts w:ascii="Arial" w:eastAsia="Arial" w:hAnsi="Arial" w:cs="Arial"/>
          <w:b/>
          <w:bCs/>
          <w:sz w:val="20"/>
          <w:szCs w:val="20"/>
          <w:u w:val="single"/>
        </w:rPr>
        <w:t xml:space="preserve"> valamennyi beszállítást (hulladék kezelésre történő átadását) végző alvállalkozója/közreműködője (a továbbiakban Beszállító) köteles betartani. </w:t>
      </w:r>
    </w:p>
    <w:p w14:paraId="030D4CEE" w14:textId="77777777" w:rsidR="00384A28" w:rsidRPr="00B71422" w:rsidRDefault="00384A28" w:rsidP="00384A28">
      <w:pPr>
        <w:spacing w:after="0"/>
        <w:jc w:val="both"/>
        <w:rPr>
          <w:rFonts w:ascii="Arial" w:eastAsia="Arial" w:hAnsi="Arial" w:cs="Arial"/>
          <w:sz w:val="20"/>
          <w:szCs w:val="20"/>
        </w:rPr>
      </w:pPr>
    </w:p>
    <w:p w14:paraId="304CE841" w14:textId="77777777" w:rsidR="00384A28" w:rsidRPr="00F045E4" w:rsidRDefault="00384A28" w:rsidP="00384A28">
      <w:pPr>
        <w:spacing w:after="0"/>
        <w:jc w:val="both"/>
        <w:rPr>
          <w:rFonts w:ascii="Arial" w:eastAsia="Arial" w:hAnsi="Arial" w:cs="Arial"/>
          <w:b/>
          <w:bCs/>
          <w:sz w:val="20"/>
          <w:szCs w:val="20"/>
          <w:u w:val="single"/>
        </w:rPr>
      </w:pPr>
      <w:r>
        <w:rPr>
          <w:rFonts w:ascii="Arial" w:eastAsia="Arial" w:hAnsi="Arial" w:cs="Arial"/>
          <w:b/>
          <w:bCs/>
          <w:sz w:val="20"/>
          <w:szCs w:val="20"/>
          <w:u w:val="single"/>
        </w:rPr>
        <w:t xml:space="preserve">Kifejezetten felhívjuk a figyelmet, hogy az Üzemeltető jogosult megtagadni a beszállítást és a hulladék átvételét, amennyiben Beszállító a jelen tájékoztatóban foglaltakat nem tartja, illetve rendszeresen megszegi. </w:t>
      </w:r>
    </w:p>
    <w:p w14:paraId="75711D83" w14:textId="77777777" w:rsidR="00D00EC3" w:rsidRDefault="00D00EC3" w:rsidP="00B71422">
      <w:pPr>
        <w:autoSpaceDE w:val="0"/>
        <w:autoSpaceDN w:val="0"/>
        <w:adjustRightInd w:val="0"/>
        <w:spacing w:after="0" w:line="240" w:lineRule="auto"/>
        <w:jc w:val="both"/>
        <w:rPr>
          <w:rFonts w:ascii="Arial" w:hAnsi="Arial" w:cs="Arial"/>
          <w:i/>
          <w:iCs/>
          <w:kern w:val="0"/>
          <w:sz w:val="20"/>
          <w:szCs w:val="20"/>
        </w:rPr>
      </w:pPr>
    </w:p>
    <w:p w14:paraId="63EAC364" w14:textId="589078E6" w:rsidR="00E07269" w:rsidRDefault="00E07269" w:rsidP="00E07269">
      <w:pPr>
        <w:spacing w:after="120" w:line="276" w:lineRule="auto"/>
        <w:jc w:val="both"/>
        <w:rPr>
          <w:rFonts w:ascii="Arial" w:eastAsia="Arial" w:hAnsi="Arial" w:cs="Arial"/>
          <w:b/>
          <w:bCs/>
          <w:sz w:val="20"/>
          <w:szCs w:val="20"/>
          <w:u w:val="single"/>
        </w:rPr>
      </w:pPr>
      <w:r w:rsidRPr="00E07269">
        <w:rPr>
          <w:rFonts w:ascii="Arial" w:eastAsia="Arial" w:hAnsi="Arial" w:cs="Arial"/>
          <w:b/>
          <w:bCs/>
          <w:sz w:val="20"/>
          <w:szCs w:val="20"/>
          <w:u w:val="single"/>
        </w:rPr>
        <w:t>Beszállítható hulladékok</w:t>
      </w:r>
      <w:r>
        <w:rPr>
          <w:rFonts w:ascii="Arial" w:eastAsia="Arial" w:hAnsi="Arial" w:cs="Arial"/>
          <w:b/>
          <w:bCs/>
          <w:sz w:val="20"/>
          <w:szCs w:val="20"/>
          <w:u w:val="single"/>
        </w:rPr>
        <w:t>:</w:t>
      </w:r>
    </w:p>
    <w:p w14:paraId="2C283E4A" w14:textId="04EECF39" w:rsidR="00E07269" w:rsidRPr="00E07269" w:rsidRDefault="00E07269" w:rsidP="00E07269">
      <w:pPr>
        <w:spacing w:after="120" w:line="276" w:lineRule="auto"/>
        <w:jc w:val="both"/>
        <w:rPr>
          <w:rFonts w:ascii="Arial" w:eastAsia="Arial" w:hAnsi="Arial" w:cs="Arial"/>
          <w:sz w:val="20"/>
          <w:szCs w:val="20"/>
        </w:rPr>
      </w:pPr>
      <w:r w:rsidRPr="00E07269">
        <w:rPr>
          <w:rFonts w:ascii="Arial" w:eastAsia="Arial" w:hAnsi="Arial" w:cs="Arial"/>
          <w:sz w:val="20"/>
          <w:szCs w:val="20"/>
        </w:rPr>
        <w:t>A beszállítható hulladékok köréről, a hulladékkezelési díjakról és az átvételi követelményekről az alábbi lin</w:t>
      </w:r>
      <w:r>
        <w:rPr>
          <w:rFonts w:ascii="Arial" w:eastAsia="Arial" w:hAnsi="Arial" w:cs="Arial"/>
          <w:sz w:val="20"/>
          <w:szCs w:val="20"/>
        </w:rPr>
        <w:t>ke</w:t>
      </w:r>
      <w:r w:rsidRPr="00E07269">
        <w:rPr>
          <w:rFonts w:ascii="Arial" w:eastAsia="Arial" w:hAnsi="Arial" w:cs="Arial"/>
          <w:sz w:val="20"/>
          <w:szCs w:val="20"/>
        </w:rPr>
        <w:t>ken tájékozódhatnak:</w:t>
      </w:r>
    </w:p>
    <w:p w14:paraId="5EDCC0D5" w14:textId="473E83F2" w:rsidR="00E07269" w:rsidRDefault="009A39A9" w:rsidP="00B71422">
      <w:pPr>
        <w:autoSpaceDE w:val="0"/>
        <w:autoSpaceDN w:val="0"/>
        <w:adjustRightInd w:val="0"/>
        <w:spacing w:after="0" w:line="240" w:lineRule="auto"/>
        <w:jc w:val="both"/>
        <w:rPr>
          <w:rFonts w:ascii="Arial" w:hAnsi="Arial" w:cs="Arial"/>
          <w:i/>
          <w:iCs/>
          <w:kern w:val="0"/>
          <w:sz w:val="20"/>
          <w:szCs w:val="20"/>
        </w:rPr>
      </w:pPr>
      <w:hyperlink r:id="rId5" w:history="1">
        <w:r w:rsidR="00E07269">
          <w:rPr>
            <w:rStyle w:val="Hiperhivatkozs"/>
          </w:rPr>
          <w:t>Hulladék ártalmatlanítási díjak (fkf.hu)</w:t>
        </w:r>
      </w:hyperlink>
    </w:p>
    <w:p w14:paraId="073C24D8" w14:textId="119DC52F" w:rsidR="00E07269" w:rsidRDefault="009A39A9" w:rsidP="00B71422">
      <w:pPr>
        <w:autoSpaceDE w:val="0"/>
        <w:autoSpaceDN w:val="0"/>
        <w:adjustRightInd w:val="0"/>
        <w:spacing w:after="0" w:line="240" w:lineRule="auto"/>
        <w:jc w:val="both"/>
        <w:rPr>
          <w:rFonts w:ascii="Arial" w:hAnsi="Arial" w:cs="Arial"/>
          <w:i/>
          <w:iCs/>
          <w:kern w:val="0"/>
          <w:sz w:val="20"/>
          <w:szCs w:val="20"/>
        </w:rPr>
      </w:pPr>
      <w:hyperlink r:id="rId6" w:history="1">
        <w:r w:rsidR="00E07269">
          <w:rPr>
            <w:rStyle w:val="Hiperhivatkozs"/>
          </w:rPr>
          <w:t>PRHK_árak_2024 0301 (002).xlsx (fkf.hu)</w:t>
        </w:r>
      </w:hyperlink>
    </w:p>
    <w:p w14:paraId="5A5D63D9" w14:textId="77777777" w:rsidR="00E07269" w:rsidRPr="00B71422" w:rsidRDefault="00E07269" w:rsidP="00B71422">
      <w:pPr>
        <w:autoSpaceDE w:val="0"/>
        <w:autoSpaceDN w:val="0"/>
        <w:adjustRightInd w:val="0"/>
        <w:spacing w:after="0" w:line="240" w:lineRule="auto"/>
        <w:jc w:val="both"/>
        <w:rPr>
          <w:rFonts w:ascii="Arial" w:hAnsi="Arial" w:cs="Arial"/>
          <w:i/>
          <w:iCs/>
          <w:kern w:val="0"/>
          <w:sz w:val="20"/>
          <w:szCs w:val="20"/>
        </w:rPr>
      </w:pPr>
    </w:p>
    <w:p w14:paraId="47BE9E44" w14:textId="77777777" w:rsidR="00D00EC3" w:rsidRPr="008B651C" w:rsidRDefault="00D00EC3" w:rsidP="00D00EC3">
      <w:pPr>
        <w:spacing w:after="120" w:line="276" w:lineRule="auto"/>
        <w:jc w:val="both"/>
        <w:rPr>
          <w:rFonts w:ascii="Arial" w:eastAsia="Arial" w:hAnsi="Arial" w:cs="Arial"/>
          <w:b/>
          <w:bCs/>
          <w:sz w:val="20"/>
          <w:szCs w:val="20"/>
          <w:u w:val="single"/>
        </w:rPr>
      </w:pPr>
      <w:r>
        <w:rPr>
          <w:rFonts w:ascii="Arial" w:eastAsia="Arial" w:hAnsi="Arial" w:cs="Arial"/>
          <w:b/>
          <w:bCs/>
          <w:sz w:val="20"/>
          <w:szCs w:val="20"/>
          <w:u w:val="single"/>
        </w:rPr>
        <w:t>Beszállítási időköz:</w:t>
      </w:r>
    </w:p>
    <w:p w14:paraId="6427896A" w14:textId="76190D64" w:rsidR="00D00EC3" w:rsidRPr="00B71422" w:rsidRDefault="00D00EC3" w:rsidP="00B71422">
      <w:pPr>
        <w:spacing w:after="0" w:line="276" w:lineRule="auto"/>
        <w:jc w:val="both"/>
        <w:rPr>
          <w:rFonts w:ascii="Arial" w:eastAsia="Arial" w:hAnsi="Arial" w:cs="Arial"/>
          <w:b/>
          <w:bCs/>
          <w:sz w:val="20"/>
          <w:szCs w:val="20"/>
        </w:rPr>
      </w:pPr>
      <w:r w:rsidRPr="00D00EC3">
        <w:rPr>
          <w:rFonts w:ascii="Arial" w:eastAsia="Arial" w:hAnsi="Arial" w:cs="Arial"/>
          <w:b/>
          <w:bCs/>
          <w:sz w:val="20"/>
          <w:szCs w:val="20"/>
        </w:rPr>
        <w:t>Munkanapokon a nyári időszámítás alatt 06:00-17:30 óra között, téli időszámítás alatt 06.00-15:30 óra között</w:t>
      </w:r>
      <w:r w:rsidRPr="00B71422">
        <w:rPr>
          <w:rFonts w:ascii="Arial" w:eastAsia="Arial" w:hAnsi="Arial" w:cs="Arial"/>
          <w:sz w:val="20"/>
          <w:szCs w:val="20"/>
        </w:rPr>
        <w:t>.</w:t>
      </w:r>
    </w:p>
    <w:p w14:paraId="0483DD19" w14:textId="77777777" w:rsidR="00D00EC3" w:rsidRPr="00B71422" w:rsidRDefault="00D00EC3" w:rsidP="00B71422">
      <w:pPr>
        <w:spacing w:after="0" w:line="276" w:lineRule="auto"/>
        <w:jc w:val="both"/>
        <w:rPr>
          <w:rFonts w:ascii="Arial" w:eastAsia="Arial" w:hAnsi="Arial" w:cs="Arial"/>
          <w:sz w:val="20"/>
          <w:szCs w:val="20"/>
        </w:rPr>
      </w:pPr>
    </w:p>
    <w:p w14:paraId="7F7E6B6F" w14:textId="57EE1856" w:rsidR="00D00EC3" w:rsidRDefault="00D00EC3" w:rsidP="00B71422">
      <w:pPr>
        <w:spacing w:after="0" w:line="276" w:lineRule="auto"/>
        <w:jc w:val="both"/>
        <w:rPr>
          <w:rFonts w:ascii="Arial" w:eastAsia="Arial" w:hAnsi="Arial" w:cs="Arial"/>
          <w:sz w:val="20"/>
          <w:szCs w:val="20"/>
        </w:rPr>
      </w:pPr>
      <w:r w:rsidRPr="00B71422">
        <w:rPr>
          <w:rFonts w:ascii="Arial" w:eastAsia="Arial" w:hAnsi="Arial" w:cs="Arial"/>
          <w:sz w:val="20"/>
          <w:szCs w:val="20"/>
        </w:rPr>
        <w:t xml:space="preserve">Nyári időszámítás a tavaszi óraátállítást követő héttől az őszi óraátállásig tart, a téli időszámítás az őszi óraátállítást követő hétfőtől a tavaszi óraátállításig tart.  </w:t>
      </w:r>
    </w:p>
    <w:p w14:paraId="0A35C6BA" w14:textId="77777777" w:rsidR="00D00EC3" w:rsidRPr="00B71422" w:rsidRDefault="00D00EC3" w:rsidP="00B71422">
      <w:pPr>
        <w:spacing w:after="0" w:line="276" w:lineRule="auto"/>
        <w:jc w:val="both"/>
        <w:rPr>
          <w:rFonts w:ascii="Arial" w:eastAsia="Arial" w:hAnsi="Arial" w:cs="Arial"/>
          <w:sz w:val="20"/>
          <w:szCs w:val="20"/>
        </w:rPr>
      </w:pPr>
    </w:p>
    <w:p w14:paraId="28436332" w14:textId="4C3646D7" w:rsidR="00D00EC3" w:rsidRPr="00B71422" w:rsidRDefault="00D00EC3" w:rsidP="00B71422">
      <w:pPr>
        <w:spacing w:after="0" w:line="276" w:lineRule="auto"/>
        <w:jc w:val="both"/>
        <w:rPr>
          <w:rFonts w:ascii="Arial" w:hAnsi="Arial" w:cs="Arial"/>
          <w:kern w:val="0"/>
          <w:sz w:val="20"/>
          <w:szCs w:val="20"/>
        </w:rPr>
      </w:pPr>
      <w:r w:rsidRPr="00B71422">
        <w:rPr>
          <w:rFonts w:ascii="Arial" w:eastAsia="Arial" w:hAnsi="Arial" w:cs="Arial"/>
          <w:sz w:val="20"/>
          <w:szCs w:val="20"/>
        </w:rPr>
        <w:t>A fentiektől eltérni csak az Üzemeltető előzetes engedélyével lehetséges.</w:t>
      </w:r>
      <w:r w:rsidRPr="00D00EC3" w:rsidDel="00384A28">
        <w:rPr>
          <w:rFonts w:ascii="Arial" w:hAnsi="Arial" w:cs="Arial"/>
          <w:i/>
          <w:iCs/>
          <w:kern w:val="0"/>
          <w:sz w:val="20"/>
          <w:szCs w:val="20"/>
        </w:rPr>
        <w:t xml:space="preserve"> </w:t>
      </w:r>
    </w:p>
    <w:p w14:paraId="43F7C157" w14:textId="77777777" w:rsidR="00D00EC3" w:rsidRDefault="00D00EC3" w:rsidP="00D00EC3">
      <w:pPr>
        <w:spacing w:after="0" w:line="276" w:lineRule="auto"/>
        <w:jc w:val="both"/>
        <w:rPr>
          <w:rFonts w:ascii="Arial" w:hAnsi="Arial" w:cs="Arial"/>
          <w:kern w:val="0"/>
          <w:sz w:val="20"/>
          <w:szCs w:val="20"/>
        </w:rPr>
      </w:pPr>
    </w:p>
    <w:p w14:paraId="25972DBD" w14:textId="77777777" w:rsidR="00D00EC3" w:rsidRDefault="00D00EC3" w:rsidP="00D00EC3">
      <w:pPr>
        <w:spacing w:after="120" w:line="276" w:lineRule="auto"/>
        <w:jc w:val="both"/>
        <w:rPr>
          <w:rFonts w:ascii="Arial" w:eastAsia="Arial" w:hAnsi="Arial" w:cs="Arial"/>
          <w:b/>
          <w:bCs/>
          <w:sz w:val="20"/>
          <w:szCs w:val="20"/>
          <w:u w:val="single"/>
        </w:rPr>
      </w:pPr>
      <w:r w:rsidRPr="00F045E4">
        <w:rPr>
          <w:rFonts w:ascii="Arial" w:eastAsia="Arial" w:hAnsi="Arial" w:cs="Arial"/>
          <w:b/>
          <w:bCs/>
          <w:sz w:val="20"/>
          <w:szCs w:val="20"/>
          <w:u w:val="single"/>
        </w:rPr>
        <w:t>Beszállításhoz szükséges dokumentumok</w:t>
      </w:r>
      <w:r>
        <w:rPr>
          <w:rFonts w:ascii="Arial" w:eastAsia="Arial" w:hAnsi="Arial" w:cs="Arial"/>
          <w:b/>
          <w:bCs/>
          <w:sz w:val="20"/>
          <w:szCs w:val="20"/>
          <w:u w:val="single"/>
        </w:rPr>
        <w:t>:</w:t>
      </w:r>
    </w:p>
    <w:p w14:paraId="33C271A5" w14:textId="77777777" w:rsidR="00D00EC3" w:rsidRPr="00F045E4" w:rsidRDefault="00D00EC3" w:rsidP="00D00EC3">
      <w:pPr>
        <w:spacing w:after="0" w:line="276" w:lineRule="auto"/>
        <w:jc w:val="both"/>
        <w:rPr>
          <w:rFonts w:ascii="Arial" w:eastAsia="Arial" w:hAnsi="Arial" w:cs="Arial"/>
          <w:sz w:val="20"/>
          <w:szCs w:val="20"/>
        </w:rPr>
      </w:pPr>
      <w:r w:rsidRPr="00F045E4">
        <w:rPr>
          <w:rFonts w:ascii="Arial" w:eastAsia="Arial" w:hAnsi="Arial" w:cs="Arial"/>
          <w:sz w:val="20"/>
          <w:szCs w:val="20"/>
        </w:rPr>
        <w:t xml:space="preserve">Beszállító </w:t>
      </w:r>
      <w:r>
        <w:rPr>
          <w:rFonts w:ascii="Arial" w:eastAsia="Arial" w:hAnsi="Arial" w:cs="Arial"/>
          <w:sz w:val="20"/>
          <w:szCs w:val="20"/>
        </w:rPr>
        <w:t xml:space="preserve">köteles az alábbi dokumentumokkal rendelkezni, amelyeket köteles Üzemeltető kérésére bemutatni: </w:t>
      </w:r>
    </w:p>
    <w:p w14:paraId="25204A5C" w14:textId="06FC7D10" w:rsidR="00D00EC3" w:rsidRDefault="00D00EC3" w:rsidP="00D00EC3">
      <w:pPr>
        <w:pStyle w:val="Listaszerbekezds"/>
        <w:numPr>
          <w:ilvl w:val="0"/>
          <w:numId w:val="1"/>
        </w:numPr>
        <w:spacing w:after="0" w:line="276" w:lineRule="auto"/>
        <w:jc w:val="both"/>
        <w:rPr>
          <w:rFonts w:ascii="Arial" w:hAnsi="Arial" w:cs="Arial"/>
          <w:sz w:val="20"/>
          <w:szCs w:val="20"/>
        </w:rPr>
      </w:pPr>
      <w:r w:rsidRPr="00D00EC3">
        <w:rPr>
          <w:rFonts w:ascii="Arial" w:hAnsi="Arial" w:cs="Arial"/>
          <w:sz w:val="20"/>
          <w:szCs w:val="20"/>
        </w:rPr>
        <w:t xml:space="preserve">a Beszállító a beszállított hulladékról </w:t>
      </w:r>
      <w:r w:rsidRPr="00D00EC3">
        <w:rPr>
          <w:rFonts w:ascii="Arial" w:hAnsi="Arial" w:cs="Arial"/>
          <w:i/>
          <w:iCs/>
          <w:sz w:val="20"/>
          <w:szCs w:val="20"/>
        </w:rPr>
        <w:t>a hulladéklerakással, valamint a hulladéklerakóval kapcsolatos egyes szabályokról és feltételekről szóló</w:t>
      </w:r>
      <w:r w:rsidRPr="00D00EC3">
        <w:rPr>
          <w:rFonts w:ascii="Arial" w:hAnsi="Arial" w:cs="Arial"/>
          <w:sz w:val="20"/>
          <w:szCs w:val="20"/>
        </w:rPr>
        <w:t xml:space="preserve"> 20/2006. (IV. 5.) </w:t>
      </w:r>
      <w:proofErr w:type="spellStart"/>
      <w:r w:rsidRPr="00D00EC3">
        <w:rPr>
          <w:rFonts w:ascii="Arial" w:hAnsi="Arial" w:cs="Arial"/>
          <w:sz w:val="20"/>
          <w:szCs w:val="20"/>
        </w:rPr>
        <w:t>KvVM</w:t>
      </w:r>
      <w:proofErr w:type="spellEnd"/>
      <w:r w:rsidRPr="00D00EC3">
        <w:rPr>
          <w:rFonts w:ascii="Arial" w:hAnsi="Arial" w:cs="Arial"/>
          <w:sz w:val="20"/>
          <w:szCs w:val="20"/>
        </w:rPr>
        <w:t xml:space="preserve"> rendelet (a továbbiakban: </w:t>
      </w:r>
      <w:r w:rsidRPr="00D00EC3">
        <w:rPr>
          <w:rFonts w:ascii="Arial" w:hAnsi="Arial" w:cs="Arial"/>
          <w:b/>
          <w:bCs/>
          <w:sz w:val="20"/>
          <w:szCs w:val="20"/>
        </w:rPr>
        <w:t>Rendelet</w:t>
      </w:r>
      <w:r w:rsidRPr="00D00EC3">
        <w:rPr>
          <w:rFonts w:ascii="Arial" w:hAnsi="Arial" w:cs="Arial"/>
          <w:sz w:val="20"/>
          <w:szCs w:val="20"/>
        </w:rPr>
        <w:t xml:space="preserve">) alapján a Rendeletben foglalt tartalommal alapjellemzést köteles adni a Beszállító által beszállított valamennyi hulladéktípusra (a továbbiakban: </w:t>
      </w:r>
      <w:r w:rsidRPr="00D00EC3">
        <w:rPr>
          <w:rFonts w:ascii="Arial" w:hAnsi="Arial" w:cs="Arial"/>
          <w:b/>
          <w:bCs/>
          <w:sz w:val="20"/>
          <w:szCs w:val="20"/>
        </w:rPr>
        <w:t>Alapjellemzés</w:t>
      </w:r>
      <w:r w:rsidRPr="00D00EC3">
        <w:rPr>
          <w:rFonts w:ascii="Arial" w:hAnsi="Arial" w:cs="Arial"/>
          <w:sz w:val="20"/>
          <w:szCs w:val="20"/>
        </w:rPr>
        <w:t>).</w:t>
      </w:r>
    </w:p>
    <w:p w14:paraId="08AD9311" w14:textId="040F0B0C" w:rsidR="00D00EC3" w:rsidRPr="00B71422" w:rsidRDefault="00D00EC3" w:rsidP="00B71422">
      <w:pPr>
        <w:pStyle w:val="Listaszerbekezds"/>
        <w:numPr>
          <w:ilvl w:val="0"/>
          <w:numId w:val="1"/>
        </w:numPr>
        <w:spacing w:after="0" w:line="276" w:lineRule="auto"/>
        <w:jc w:val="both"/>
        <w:rPr>
          <w:rFonts w:ascii="Arial" w:hAnsi="Arial" w:cs="Arial"/>
          <w:sz w:val="20"/>
          <w:szCs w:val="20"/>
        </w:rPr>
      </w:pPr>
      <w:r>
        <w:rPr>
          <w:rFonts w:ascii="Arial" w:hAnsi="Arial" w:cs="Arial"/>
          <w:sz w:val="20"/>
          <w:szCs w:val="20"/>
        </w:rPr>
        <w:t>A</w:t>
      </w:r>
      <w:r w:rsidRPr="00D00EC3">
        <w:rPr>
          <w:rFonts w:ascii="Arial" w:hAnsi="Arial" w:cs="Arial"/>
          <w:sz w:val="20"/>
          <w:szCs w:val="20"/>
        </w:rPr>
        <w:t xml:space="preserve"> beszállított hulladékokra vonatkozó, </w:t>
      </w:r>
      <w:r w:rsidRPr="00B71422">
        <w:rPr>
          <w:rFonts w:ascii="Arial" w:hAnsi="Arial" w:cs="Arial"/>
          <w:b/>
          <w:bCs/>
          <w:sz w:val="20"/>
          <w:szCs w:val="20"/>
        </w:rPr>
        <w:t>hatályos jogszabályok által előírt dokumentumoknak, engedélyeknek</w:t>
      </w:r>
      <w:r w:rsidR="00075687">
        <w:rPr>
          <w:rFonts w:ascii="Arial" w:hAnsi="Arial" w:cs="Arial"/>
          <w:sz w:val="20"/>
          <w:szCs w:val="20"/>
        </w:rPr>
        <w:t xml:space="preserve">, különös tekintettel - a rendelet által meghatározott hulladékok körében - </w:t>
      </w:r>
      <w:r w:rsidR="00075687" w:rsidRPr="006D3B9E">
        <w:rPr>
          <w:rFonts w:ascii="Arial" w:hAnsi="Arial" w:cs="Arial"/>
          <w:b/>
          <w:bCs/>
          <w:sz w:val="20"/>
          <w:szCs w:val="20"/>
        </w:rPr>
        <w:t>a laborvizsgálati jegyzőkönyv</w:t>
      </w:r>
      <w:r w:rsidR="006D3B9E">
        <w:rPr>
          <w:rFonts w:ascii="Arial" w:hAnsi="Arial" w:cs="Arial"/>
          <w:sz w:val="20"/>
          <w:szCs w:val="20"/>
        </w:rPr>
        <w:t>*</w:t>
      </w:r>
      <w:r w:rsidR="00075687">
        <w:rPr>
          <w:rFonts w:ascii="Arial" w:hAnsi="Arial" w:cs="Arial"/>
          <w:sz w:val="20"/>
          <w:szCs w:val="20"/>
        </w:rPr>
        <w:t xml:space="preserve">, valamint minden beszállítás alkalmával a </w:t>
      </w:r>
      <w:r w:rsidR="00075687" w:rsidRPr="006D3B9E">
        <w:rPr>
          <w:rFonts w:ascii="Arial" w:hAnsi="Arial" w:cs="Arial"/>
          <w:b/>
          <w:bCs/>
          <w:sz w:val="20"/>
          <w:szCs w:val="20"/>
        </w:rPr>
        <w:t>309/2014. (XII. 11.) Korm. rendelet szerinti nyilatkozat</w:t>
      </w:r>
    </w:p>
    <w:p w14:paraId="736D7D9D" w14:textId="77777777" w:rsidR="00D00EC3" w:rsidRDefault="00D00EC3" w:rsidP="00D00EC3">
      <w:pPr>
        <w:spacing w:after="0" w:line="276" w:lineRule="auto"/>
        <w:jc w:val="both"/>
        <w:rPr>
          <w:rFonts w:ascii="Arial" w:hAnsi="Arial" w:cs="Arial"/>
          <w:kern w:val="0"/>
          <w:sz w:val="20"/>
          <w:szCs w:val="20"/>
        </w:rPr>
      </w:pPr>
    </w:p>
    <w:p w14:paraId="07A9B910" w14:textId="0884246D" w:rsidR="00D00EC3" w:rsidRDefault="00D00EC3" w:rsidP="00D00EC3">
      <w:pPr>
        <w:spacing w:after="0" w:line="276" w:lineRule="auto"/>
        <w:jc w:val="both"/>
        <w:rPr>
          <w:rFonts w:ascii="Arial" w:hAnsi="Arial" w:cs="Arial"/>
          <w:kern w:val="0"/>
          <w:sz w:val="20"/>
          <w:szCs w:val="20"/>
        </w:rPr>
      </w:pPr>
      <w:r w:rsidRPr="00D00EC3">
        <w:rPr>
          <w:rFonts w:ascii="Arial" w:hAnsi="Arial" w:cs="Arial"/>
          <w:kern w:val="0"/>
          <w:sz w:val="20"/>
          <w:szCs w:val="20"/>
        </w:rPr>
        <w:t>Üzemeltető</w:t>
      </w:r>
      <w:r>
        <w:rPr>
          <w:rFonts w:ascii="Arial" w:hAnsi="Arial" w:cs="Arial"/>
          <w:kern w:val="0"/>
          <w:sz w:val="20"/>
          <w:szCs w:val="20"/>
        </w:rPr>
        <w:t xml:space="preserve"> </w:t>
      </w:r>
      <w:r w:rsidRPr="00B71422">
        <w:rPr>
          <w:rFonts w:ascii="Arial" w:hAnsi="Arial" w:cs="Arial"/>
          <w:b/>
          <w:bCs/>
          <w:kern w:val="0"/>
          <w:sz w:val="20"/>
          <w:szCs w:val="20"/>
          <w:u w:val="single"/>
        </w:rPr>
        <w:t>felhívja a figyelmet</w:t>
      </w:r>
      <w:r>
        <w:rPr>
          <w:rFonts w:ascii="Arial" w:hAnsi="Arial" w:cs="Arial"/>
          <w:kern w:val="0"/>
          <w:sz w:val="20"/>
          <w:szCs w:val="20"/>
        </w:rPr>
        <w:t>, hogy</w:t>
      </w:r>
      <w:r w:rsidRPr="00D00EC3">
        <w:rPr>
          <w:rFonts w:ascii="Arial" w:hAnsi="Arial" w:cs="Arial"/>
          <w:kern w:val="0"/>
          <w:sz w:val="20"/>
          <w:szCs w:val="20"/>
        </w:rPr>
        <w:t xml:space="preserve"> a hulladék átvételével kapcsolatban</w:t>
      </w:r>
      <w:r w:rsidR="00075687">
        <w:rPr>
          <w:rFonts w:ascii="Arial" w:hAnsi="Arial" w:cs="Arial"/>
          <w:kern w:val="0"/>
          <w:sz w:val="20"/>
          <w:szCs w:val="20"/>
        </w:rPr>
        <w:t>,</w:t>
      </w:r>
      <w:r w:rsidRPr="00D00EC3">
        <w:rPr>
          <w:rFonts w:ascii="Arial" w:hAnsi="Arial" w:cs="Arial"/>
          <w:kern w:val="0"/>
          <w:sz w:val="20"/>
          <w:szCs w:val="20"/>
        </w:rPr>
        <w:t xml:space="preserve"> a Rendeletben meghatározott feltételek szerint köteles eljárni. Az Üzemeltető a Rendelet 2. számú melléklet 1.3. pont szerint a PRHK beléptető pontján és a lerakás helyén helyszíni </w:t>
      </w:r>
      <w:r w:rsidRPr="00D00EC3">
        <w:rPr>
          <w:rFonts w:ascii="Arial" w:hAnsi="Arial" w:cs="Arial"/>
          <w:b/>
          <w:bCs/>
          <w:kern w:val="0"/>
          <w:sz w:val="20"/>
          <w:szCs w:val="20"/>
        </w:rPr>
        <w:t>ellenőrző vizsgálatot</w:t>
      </w:r>
      <w:r w:rsidRPr="00D00EC3">
        <w:rPr>
          <w:rFonts w:ascii="Arial" w:hAnsi="Arial" w:cs="Arial"/>
          <w:kern w:val="0"/>
          <w:sz w:val="20"/>
          <w:szCs w:val="20"/>
        </w:rPr>
        <w:t xml:space="preserve"> köteles végezni annak megállapítása érdekében, hogy a lerakásra szánt hulladék azonos-e az Alapjellemzésben és egyéb kísérő dokumentumban leírt hulladékkal.</w:t>
      </w:r>
    </w:p>
    <w:p w14:paraId="5FCF5378" w14:textId="77777777" w:rsidR="00D00EC3" w:rsidRDefault="00D00EC3" w:rsidP="00D00EC3">
      <w:pPr>
        <w:spacing w:after="0" w:line="276" w:lineRule="auto"/>
        <w:jc w:val="both"/>
        <w:rPr>
          <w:rFonts w:ascii="Arial" w:hAnsi="Arial" w:cs="Arial"/>
          <w:kern w:val="0"/>
          <w:sz w:val="20"/>
          <w:szCs w:val="20"/>
        </w:rPr>
      </w:pPr>
    </w:p>
    <w:p w14:paraId="155003EF" w14:textId="77777777" w:rsidR="00D00EC3" w:rsidRPr="00D00EC3" w:rsidRDefault="00D00EC3" w:rsidP="00D00EC3">
      <w:pPr>
        <w:spacing w:after="0" w:line="276" w:lineRule="auto"/>
        <w:jc w:val="both"/>
        <w:rPr>
          <w:rFonts w:ascii="Arial" w:hAnsi="Arial" w:cs="Arial"/>
          <w:b/>
          <w:bCs/>
          <w:kern w:val="0"/>
          <w:sz w:val="20"/>
          <w:szCs w:val="20"/>
          <w:u w:val="single"/>
        </w:rPr>
      </w:pPr>
      <w:r w:rsidRPr="00D00EC3">
        <w:rPr>
          <w:rFonts w:ascii="Arial" w:hAnsi="Arial" w:cs="Arial"/>
          <w:b/>
          <w:bCs/>
          <w:kern w:val="0"/>
          <w:sz w:val="20"/>
          <w:szCs w:val="20"/>
          <w:u w:val="single"/>
        </w:rPr>
        <w:t>Beszállítással kapcsolatos szabályok:</w:t>
      </w:r>
    </w:p>
    <w:p w14:paraId="4D043045" w14:textId="028C1DCC" w:rsidR="00D00EC3" w:rsidRDefault="00D00EC3" w:rsidP="00D00EC3">
      <w:pPr>
        <w:numPr>
          <w:ilvl w:val="0"/>
          <w:numId w:val="2"/>
        </w:numPr>
        <w:spacing w:after="0" w:line="276" w:lineRule="auto"/>
        <w:jc w:val="both"/>
        <w:rPr>
          <w:rFonts w:ascii="Arial" w:hAnsi="Arial" w:cs="Arial"/>
          <w:kern w:val="0"/>
          <w:sz w:val="20"/>
          <w:szCs w:val="20"/>
        </w:rPr>
      </w:pPr>
      <w:r w:rsidRPr="00D00EC3">
        <w:rPr>
          <w:rFonts w:ascii="Arial" w:hAnsi="Arial" w:cs="Arial"/>
          <w:b/>
          <w:bCs/>
          <w:kern w:val="0"/>
          <w:sz w:val="20"/>
          <w:szCs w:val="20"/>
        </w:rPr>
        <w:lastRenderedPageBreak/>
        <w:t xml:space="preserve">Beszállító kötelezettsége a hulladék </w:t>
      </w:r>
      <w:r>
        <w:rPr>
          <w:rFonts w:ascii="Arial" w:hAnsi="Arial" w:cs="Arial"/>
          <w:b/>
          <w:bCs/>
          <w:kern w:val="0"/>
          <w:sz w:val="20"/>
          <w:szCs w:val="20"/>
        </w:rPr>
        <w:t>PRHK-</w:t>
      </w:r>
      <w:proofErr w:type="spellStart"/>
      <w:r>
        <w:rPr>
          <w:rFonts w:ascii="Arial" w:hAnsi="Arial" w:cs="Arial"/>
          <w:b/>
          <w:bCs/>
          <w:kern w:val="0"/>
          <w:sz w:val="20"/>
          <w:szCs w:val="20"/>
        </w:rPr>
        <w:t>ba</w:t>
      </w:r>
      <w:proofErr w:type="spellEnd"/>
      <w:r>
        <w:rPr>
          <w:rFonts w:ascii="Arial" w:hAnsi="Arial" w:cs="Arial"/>
          <w:b/>
          <w:bCs/>
          <w:kern w:val="0"/>
          <w:sz w:val="20"/>
          <w:szCs w:val="20"/>
        </w:rPr>
        <w:t xml:space="preserve"> történő</w:t>
      </w:r>
      <w:r w:rsidRPr="00D00EC3">
        <w:rPr>
          <w:rFonts w:ascii="Arial" w:hAnsi="Arial" w:cs="Arial"/>
          <w:b/>
          <w:bCs/>
          <w:kern w:val="0"/>
          <w:sz w:val="20"/>
          <w:szCs w:val="20"/>
        </w:rPr>
        <w:t xml:space="preserve"> beszállítása, valamint ürítése az Üzemeltető által meghatározott helyre a telephelyen belül</w:t>
      </w:r>
      <w:r w:rsidRPr="00D00EC3">
        <w:rPr>
          <w:rFonts w:ascii="Arial" w:hAnsi="Arial" w:cs="Arial"/>
          <w:kern w:val="0"/>
          <w:sz w:val="20"/>
          <w:szCs w:val="20"/>
        </w:rPr>
        <w:t>;</w:t>
      </w:r>
    </w:p>
    <w:p w14:paraId="78F79AEA" w14:textId="679C151E" w:rsidR="00D00EC3" w:rsidRDefault="00D00EC3" w:rsidP="00D00EC3">
      <w:pPr>
        <w:numPr>
          <w:ilvl w:val="0"/>
          <w:numId w:val="2"/>
        </w:numPr>
        <w:spacing w:after="0" w:line="276" w:lineRule="auto"/>
        <w:jc w:val="both"/>
        <w:rPr>
          <w:rFonts w:ascii="Arial" w:hAnsi="Arial" w:cs="Arial"/>
          <w:kern w:val="0"/>
          <w:sz w:val="20"/>
          <w:szCs w:val="20"/>
        </w:rPr>
      </w:pPr>
      <w:r w:rsidRPr="00D00EC3">
        <w:rPr>
          <w:rFonts w:ascii="Arial" w:hAnsi="Arial" w:cs="Arial"/>
          <w:b/>
          <w:bCs/>
          <w:kern w:val="0"/>
          <w:sz w:val="20"/>
          <w:szCs w:val="20"/>
        </w:rPr>
        <w:t xml:space="preserve">Beszállító köteles betartani a </w:t>
      </w:r>
      <w:r>
        <w:rPr>
          <w:rFonts w:ascii="Arial" w:hAnsi="Arial" w:cs="Arial"/>
          <w:b/>
          <w:bCs/>
          <w:kern w:val="0"/>
          <w:sz w:val="20"/>
          <w:szCs w:val="20"/>
        </w:rPr>
        <w:t>PRHK</w:t>
      </w:r>
      <w:r w:rsidRPr="00D00EC3">
        <w:rPr>
          <w:rFonts w:ascii="Arial" w:hAnsi="Arial" w:cs="Arial"/>
          <w:b/>
          <w:bCs/>
          <w:kern w:val="0"/>
          <w:sz w:val="20"/>
          <w:szCs w:val="20"/>
        </w:rPr>
        <w:t xml:space="preserve"> kijelölt dolgozójának utasításait</w:t>
      </w:r>
      <w:r w:rsidRPr="00D00EC3">
        <w:rPr>
          <w:rFonts w:ascii="Arial" w:hAnsi="Arial" w:cs="Arial"/>
          <w:kern w:val="0"/>
          <w:sz w:val="20"/>
          <w:szCs w:val="20"/>
        </w:rPr>
        <w:t>; köteles a hulladékot a telephelyen belül az Üzemeltető munkavállalója, vagy érdekkörébe tartozó egyéb személy által megjelölt helyre üríteni;</w:t>
      </w:r>
    </w:p>
    <w:p w14:paraId="71A98092" w14:textId="2FF0B342" w:rsidR="00D00EC3" w:rsidRPr="00D00EC3" w:rsidRDefault="00D00EC3" w:rsidP="00B71422">
      <w:pPr>
        <w:numPr>
          <w:ilvl w:val="0"/>
          <w:numId w:val="2"/>
        </w:numPr>
        <w:spacing w:after="0" w:line="276" w:lineRule="auto"/>
        <w:jc w:val="both"/>
        <w:rPr>
          <w:rFonts w:ascii="Arial" w:hAnsi="Arial" w:cs="Arial"/>
          <w:kern w:val="0"/>
          <w:sz w:val="20"/>
          <w:szCs w:val="20"/>
        </w:rPr>
      </w:pPr>
      <w:r>
        <w:rPr>
          <w:rFonts w:ascii="Arial" w:eastAsia="Arial" w:hAnsi="Arial" w:cs="Arial"/>
          <w:sz w:val="20"/>
          <w:szCs w:val="20"/>
        </w:rPr>
        <w:t>A beszállításból</w:t>
      </w:r>
      <w:r w:rsidRPr="00653174">
        <w:rPr>
          <w:rFonts w:ascii="Arial" w:eastAsia="Arial" w:hAnsi="Arial" w:cs="Arial"/>
          <w:sz w:val="20"/>
          <w:szCs w:val="20"/>
        </w:rPr>
        <w:t xml:space="preserve"> eredő szennyezés esetén kötelesek gondoskodni az eredeti környezeti állapot helyreállításáról, így különösen a terület szennyezésmentesítéséről és a hulladék elszállításáról</w:t>
      </w:r>
      <w:r>
        <w:rPr>
          <w:rFonts w:ascii="Arial" w:eastAsia="Arial" w:hAnsi="Arial" w:cs="Arial"/>
          <w:sz w:val="20"/>
          <w:szCs w:val="20"/>
        </w:rPr>
        <w:t>;</w:t>
      </w:r>
    </w:p>
    <w:p w14:paraId="0E420E74" w14:textId="77777777" w:rsidR="00D00EC3" w:rsidRDefault="00D00EC3" w:rsidP="00D00EC3">
      <w:pPr>
        <w:spacing w:after="0" w:line="276" w:lineRule="auto"/>
        <w:jc w:val="both"/>
        <w:rPr>
          <w:rFonts w:ascii="Arial" w:hAnsi="Arial" w:cs="Arial"/>
          <w:kern w:val="0"/>
          <w:sz w:val="20"/>
          <w:szCs w:val="20"/>
        </w:rPr>
      </w:pPr>
    </w:p>
    <w:p w14:paraId="7859E2FE" w14:textId="7F7AA10D" w:rsidR="005948BE" w:rsidRPr="00F045E4" w:rsidRDefault="005948BE" w:rsidP="005948BE">
      <w:pPr>
        <w:spacing w:after="120" w:line="276" w:lineRule="auto"/>
        <w:jc w:val="both"/>
        <w:rPr>
          <w:rFonts w:ascii="Arial" w:eastAsia="Arial" w:hAnsi="Arial" w:cs="Arial"/>
          <w:b/>
          <w:bCs/>
          <w:sz w:val="20"/>
          <w:szCs w:val="20"/>
          <w:u w:val="single"/>
        </w:rPr>
      </w:pPr>
      <w:r>
        <w:rPr>
          <w:rFonts w:ascii="Arial" w:eastAsia="Arial" w:hAnsi="Arial" w:cs="Arial"/>
          <w:b/>
          <w:bCs/>
          <w:sz w:val="20"/>
          <w:szCs w:val="20"/>
          <w:u w:val="single"/>
        </w:rPr>
        <w:t>Beszállítás, m</w:t>
      </w:r>
      <w:r w:rsidRPr="00F045E4">
        <w:rPr>
          <w:rFonts w:ascii="Arial" w:eastAsia="Arial" w:hAnsi="Arial" w:cs="Arial"/>
          <w:b/>
          <w:bCs/>
          <w:sz w:val="20"/>
          <w:szCs w:val="20"/>
          <w:u w:val="single"/>
        </w:rPr>
        <w:t>érlegelés</w:t>
      </w:r>
      <w:r>
        <w:rPr>
          <w:rFonts w:ascii="Arial" w:eastAsia="Arial" w:hAnsi="Arial" w:cs="Arial"/>
          <w:b/>
          <w:bCs/>
          <w:sz w:val="20"/>
          <w:szCs w:val="20"/>
          <w:u w:val="single"/>
        </w:rPr>
        <w:t>, hulladékátvétel</w:t>
      </w:r>
      <w:r w:rsidRPr="00F045E4">
        <w:rPr>
          <w:rFonts w:ascii="Arial" w:eastAsia="Arial" w:hAnsi="Arial" w:cs="Arial"/>
          <w:b/>
          <w:bCs/>
          <w:sz w:val="20"/>
          <w:szCs w:val="20"/>
          <w:u w:val="single"/>
        </w:rPr>
        <w:t>:</w:t>
      </w:r>
    </w:p>
    <w:p w14:paraId="5C8B7A98" w14:textId="77777777" w:rsidR="00B71422" w:rsidRDefault="005948BE" w:rsidP="005948BE">
      <w:pPr>
        <w:spacing w:after="0" w:line="276" w:lineRule="auto"/>
        <w:jc w:val="both"/>
        <w:rPr>
          <w:rFonts w:ascii="Arial" w:hAnsi="Arial" w:cs="Arial"/>
          <w:kern w:val="0"/>
          <w:sz w:val="20"/>
          <w:szCs w:val="20"/>
        </w:rPr>
      </w:pPr>
      <w:r w:rsidRPr="003D48A0">
        <w:rPr>
          <w:rFonts w:ascii="Arial" w:hAnsi="Arial" w:cs="Arial"/>
          <w:kern w:val="0"/>
          <w:sz w:val="20"/>
          <w:szCs w:val="20"/>
        </w:rPr>
        <w:t xml:space="preserve">A beszállított hulladék mennyiségének meghatározása az érvényes hitelesítéssel rendelkező bejövő és a kimenő mérleg adatainak különbségéből történik. </w:t>
      </w:r>
    </w:p>
    <w:p w14:paraId="694D5A30" w14:textId="77777777" w:rsidR="00B71422" w:rsidRDefault="00B71422" w:rsidP="005948BE">
      <w:pPr>
        <w:spacing w:after="0" w:line="276" w:lineRule="auto"/>
        <w:jc w:val="both"/>
        <w:rPr>
          <w:rFonts w:ascii="Arial" w:hAnsi="Arial" w:cs="Arial"/>
          <w:kern w:val="0"/>
          <w:sz w:val="20"/>
          <w:szCs w:val="20"/>
        </w:rPr>
      </w:pPr>
    </w:p>
    <w:p w14:paraId="2DC46FCC" w14:textId="21AEE812" w:rsidR="00B71422" w:rsidRPr="00217150" w:rsidRDefault="00B71422" w:rsidP="005948BE">
      <w:pPr>
        <w:spacing w:after="0" w:line="276" w:lineRule="auto"/>
        <w:jc w:val="both"/>
        <w:rPr>
          <w:rFonts w:ascii="Arial" w:hAnsi="Arial" w:cs="Arial"/>
          <w:kern w:val="0"/>
          <w:sz w:val="20"/>
          <w:szCs w:val="20"/>
        </w:rPr>
      </w:pPr>
      <w:r w:rsidRPr="00217150">
        <w:rPr>
          <w:rFonts w:ascii="Arial" w:hAnsi="Arial" w:cs="Arial"/>
          <w:kern w:val="0"/>
          <w:sz w:val="20"/>
          <w:szCs w:val="20"/>
        </w:rPr>
        <w:t>A PRHK telephelyen az alábbi mérlegek üzemelnek:</w:t>
      </w:r>
      <w:r w:rsidR="00FE35FD" w:rsidRPr="00217150">
        <w:rPr>
          <w:rFonts w:ascii="Arial" w:hAnsi="Arial" w:cs="Arial"/>
          <w:kern w:val="0"/>
          <w:sz w:val="20"/>
          <w:szCs w:val="20"/>
        </w:rPr>
        <w:t xml:space="preserve"> 2 db</w:t>
      </w:r>
      <w:r w:rsidR="0031181B" w:rsidRPr="00217150">
        <w:rPr>
          <w:rFonts w:ascii="Arial" w:hAnsi="Arial" w:cs="Arial"/>
          <w:kern w:val="0"/>
          <w:sz w:val="20"/>
          <w:szCs w:val="20"/>
        </w:rPr>
        <w:t xml:space="preserve"> </w:t>
      </w:r>
      <w:r w:rsidR="00FE35FD" w:rsidRPr="00217150">
        <w:rPr>
          <w:rFonts w:ascii="Arial" w:hAnsi="Arial" w:cs="Arial"/>
          <w:kern w:val="0"/>
          <w:sz w:val="20"/>
          <w:szCs w:val="20"/>
        </w:rPr>
        <w:t>Közúti hídmérleg, 60 tonna teherbírással, 20 kg osztásértékkel, III. pontossági osztály. Teherfelevő KONTINEX VSH200. Kiértékelő Mérleg GSM EMX100/111.</w:t>
      </w:r>
    </w:p>
    <w:p w14:paraId="173AF633" w14:textId="77777777" w:rsidR="00B71422" w:rsidRPr="00217150" w:rsidRDefault="00B71422" w:rsidP="005948BE">
      <w:pPr>
        <w:spacing w:after="0" w:line="276" w:lineRule="auto"/>
        <w:jc w:val="both"/>
        <w:rPr>
          <w:rFonts w:ascii="Arial" w:hAnsi="Arial" w:cs="Arial"/>
          <w:kern w:val="0"/>
          <w:sz w:val="20"/>
          <w:szCs w:val="20"/>
        </w:rPr>
      </w:pPr>
    </w:p>
    <w:p w14:paraId="4730419A" w14:textId="4189C077" w:rsidR="00B71422" w:rsidRDefault="00B71422" w:rsidP="005948BE">
      <w:pPr>
        <w:spacing w:after="0" w:line="276" w:lineRule="auto"/>
        <w:jc w:val="both"/>
        <w:rPr>
          <w:rFonts w:ascii="Arial" w:hAnsi="Arial" w:cs="Arial"/>
          <w:kern w:val="0"/>
          <w:sz w:val="20"/>
          <w:szCs w:val="20"/>
        </w:rPr>
      </w:pPr>
      <w:r w:rsidRPr="00217150">
        <w:rPr>
          <w:rFonts w:ascii="Arial" w:hAnsi="Arial" w:cs="Arial"/>
          <w:kern w:val="0"/>
          <w:sz w:val="20"/>
          <w:szCs w:val="20"/>
        </w:rPr>
        <w:t xml:space="preserve">Üzemeltető </w:t>
      </w:r>
      <w:r w:rsidRPr="00217150">
        <w:rPr>
          <w:rFonts w:ascii="Arial" w:hAnsi="Arial" w:cs="Arial"/>
          <w:b/>
          <w:bCs/>
          <w:kern w:val="0"/>
          <w:sz w:val="20"/>
          <w:szCs w:val="20"/>
          <w:u w:val="single"/>
        </w:rPr>
        <w:t>felhívja a figyelmet</w:t>
      </w:r>
      <w:r w:rsidRPr="00217150">
        <w:rPr>
          <w:rFonts w:ascii="Arial" w:hAnsi="Arial" w:cs="Arial"/>
          <w:kern w:val="0"/>
          <w:sz w:val="20"/>
          <w:szCs w:val="20"/>
        </w:rPr>
        <w:t xml:space="preserve">, hogy a mérlegek fent megjelölt kapacitással rendelkeznek, így amennyiben Beszállító nem felel meg a fenti előírásoknak, Üzemeltető jogosult a behajtást megtagadni. </w:t>
      </w:r>
    </w:p>
    <w:p w14:paraId="5E456F63" w14:textId="77777777" w:rsidR="00B71422" w:rsidRDefault="00B71422" w:rsidP="005948BE">
      <w:pPr>
        <w:spacing w:after="0" w:line="276" w:lineRule="auto"/>
        <w:jc w:val="both"/>
        <w:rPr>
          <w:rFonts w:ascii="Arial" w:hAnsi="Arial" w:cs="Arial"/>
          <w:kern w:val="0"/>
          <w:sz w:val="20"/>
          <w:szCs w:val="20"/>
        </w:rPr>
      </w:pPr>
    </w:p>
    <w:p w14:paraId="2B661F03" w14:textId="5789D88D" w:rsidR="005948BE" w:rsidRPr="00F045E4" w:rsidRDefault="005948BE" w:rsidP="005948BE">
      <w:pPr>
        <w:spacing w:after="0" w:line="276" w:lineRule="auto"/>
        <w:jc w:val="both"/>
        <w:rPr>
          <w:rFonts w:ascii="Arial" w:eastAsia="Arial" w:hAnsi="Arial" w:cs="Arial"/>
          <w:sz w:val="20"/>
          <w:szCs w:val="20"/>
        </w:rPr>
      </w:pPr>
      <w:r w:rsidRPr="00B06709">
        <w:rPr>
          <w:rFonts w:ascii="Arial" w:hAnsi="Arial" w:cs="Arial"/>
          <w:kern w:val="0"/>
          <w:sz w:val="20"/>
          <w:szCs w:val="20"/>
        </w:rPr>
        <w:t>A bemeneti tömeg és a kihajtási üres tömeg különbözete a hulladéklerakóra szállított ártalmatlanítandó hulladék mennyisége.</w:t>
      </w:r>
    </w:p>
    <w:p w14:paraId="190543F4" w14:textId="77777777" w:rsidR="005948BE" w:rsidRPr="00B71422" w:rsidRDefault="005948BE" w:rsidP="005948BE">
      <w:pPr>
        <w:pStyle w:val="Listaszerbekezds"/>
        <w:numPr>
          <w:ilvl w:val="0"/>
          <w:numId w:val="2"/>
        </w:numPr>
        <w:spacing w:after="0" w:line="276" w:lineRule="auto"/>
        <w:jc w:val="both"/>
        <w:rPr>
          <w:rFonts w:ascii="Arial" w:eastAsia="Arial" w:hAnsi="Arial" w:cs="Arial"/>
          <w:sz w:val="20"/>
          <w:szCs w:val="20"/>
        </w:rPr>
      </w:pPr>
      <w:r w:rsidRPr="00A97ED4">
        <w:rPr>
          <w:rFonts w:ascii="Arial" w:hAnsi="Arial" w:cs="Arial"/>
          <w:sz w:val="20"/>
          <w:szCs w:val="20"/>
        </w:rPr>
        <w:t xml:space="preserve">A telephelyre történő beszállítást követően az érkező szállító jármű vezetője – a mérlegkezelőtől kapott engedélyt követően - a hídmérlegre hajt és a szükséges dokumentumokat átadja az érkeztetéssel megbízott munkavállalónak. </w:t>
      </w:r>
    </w:p>
    <w:p w14:paraId="67761825" w14:textId="77777777" w:rsidR="005948BE" w:rsidRPr="00B71422" w:rsidRDefault="005948BE" w:rsidP="005948BE">
      <w:pPr>
        <w:pStyle w:val="Listaszerbekezds"/>
        <w:numPr>
          <w:ilvl w:val="0"/>
          <w:numId w:val="2"/>
        </w:numPr>
        <w:spacing w:after="0" w:line="276" w:lineRule="auto"/>
        <w:jc w:val="both"/>
        <w:rPr>
          <w:rFonts w:ascii="Arial" w:eastAsia="Arial" w:hAnsi="Arial" w:cs="Arial"/>
          <w:sz w:val="20"/>
          <w:szCs w:val="20"/>
        </w:rPr>
      </w:pPr>
      <w:r w:rsidRPr="007F58EE">
        <w:rPr>
          <w:rFonts w:ascii="Arial" w:hAnsi="Arial" w:cs="Arial"/>
          <w:sz w:val="20"/>
          <w:szCs w:val="20"/>
        </w:rPr>
        <w:t>Az érkeztetéssel megbízott munkavállaló ellenőrzi, hogy a hulladék típusát és minősítését (veszélyességét) megállapító dokumentáció megfelel-e az előírásoknak, szemrevételezéssel megállapítja, hogy a beérkező szállítmány befogadható-e. Amennyiben igen, megtörténik a mérlegelés és az adatok nyilvántartásba vétele a LIBRA-TÁRA rendszerben. Amennyiben a hulladék nem fogadható be, a hatályos előírásoknak megfelelően intézkedik az átvétel megtagadásáról és a jármű visszafordításáról.</w:t>
      </w:r>
    </w:p>
    <w:p w14:paraId="07C08FEF" w14:textId="02FB0AB5" w:rsidR="005948BE" w:rsidRPr="00F045E4" w:rsidRDefault="005948BE" w:rsidP="005948BE">
      <w:pPr>
        <w:pStyle w:val="Listaszerbekezds"/>
        <w:numPr>
          <w:ilvl w:val="0"/>
          <w:numId w:val="2"/>
        </w:numPr>
        <w:spacing w:after="0" w:line="276" w:lineRule="auto"/>
        <w:jc w:val="both"/>
        <w:rPr>
          <w:rFonts w:ascii="Arial" w:eastAsia="Arial" w:hAnsi="Arial" w:cs="Arial"/>
          <w:sz w:val="20"/>
          <w:szCs w:val="20"/>
        </w:rPr>
      </w:pPr>
      <w:r w:rsidRPr="00F045E4">
        <w:rPr>
          <w:rFonts w:ascii="Arial" w:eastAsia="Arial" w:hAnsi="Arial" w:cs="Arial"/>
          <w:color w:val="000000" w:themeColor="text1"/>
          <w:sz w:val="20"/>
          <w:szCs w:val="20"/>
        </w:rPr>
        <w:t>A Beszállító az első mérlegeléssel (</w:t>
      </w:r>
      <w:r w:rsidRPr="00F045E4">
        <w:rPr>
          <w:rFonts w:ascii="Arial" w:eastAsia="Arial" w:hAnsi="Arial" w:cs="Arial"/>
          <w:b/>
          <w:bCs/>
          <w:color w:val="000000" w:themeColor="text1"/>
          <w:sz w:val="20"/>
          <w:szCs w:val="20"/>
        </w:rPr>
        <w:t>belépési mérlegelés</w:t>
      </w:r>
      <w:r w:rsidRPr="00F045E4">
        <w:rPr>
          <w:rFonts w:ascii="Arial" w:eastAsia="Arial" w:hAnsi="Arial" w:cs="Arial"/>
          <w:color w:val="000000" w:themeColor="text1"/>
          <w:sz w:val="20"/>
          <w:szCs w:val="20"/>
        </w:rPr>
        <w:t xml:space="preserve">) egyidejűleg maradéktalanul nyilatkozik </w:t>
      </w:r>
      <w:r w:rsidRPr="00F045E4">
        <w:rPr>
          <w:rFonts w:ascii="Arial" w:eastAsia="Arial" w:hAnsi="Arial" w:cs="Arial"/>
          <w:i/>
          <w:iCs/>
          <w:color w:val="000000" w:themeColor="text1"/>
          <w:sz w:val="20"/>
          <w:szCs w:val="20"/>
        </w:rPr>
        <w:t>a hulladékkal kapcsolatos nyilvántartási és adatszolgáltatási kötelezettségekről</w:t>
      </w:r>
      <w:r w:rsidRPr="00F045E4">
        <w:rPr>
          <w:rFonts w:ascii="Arial" w:eastAsia="Arial" w:hAnsi="Arial" w:cs="Arial"/>
          <w:color w:val="000000" w:themeColor="text1"/>
          <w:sz w:val="20"/>
          <w:szCs w:val="20"/>
        </w:rPr>
        <w:t xml:space="preserve"> szóló 309/2014. (XII. 11.) Korm. rendelet szerinti, kötelezően nyilvántartandó összes adatról és teljesíti a jelen Szerződében foglalt feltételeket.</w:t>
      </w:r>
    </w:p>
    <w:p w14:paraId="387D27A9" w14:textId="7B8008FE" w:rsidR="005948BE" w:rsidRPr="00B71422" w:rsidRDefault="005948BE" w:rsidP="005948BE">
      <w:pPr>
        <w:pStyle w:val="Listaszerbekezds"/>
        <w:numPr>
          <w:ilvl w:val="0"/>
          <w:numId w:val="2"/>
        </w:numPr>
        <w:spacing w:after="0" w:line="276" w:lineRule="auto"/>
        <w:jc w:val="both"/>
        <w:rPr>
          <w:rFonts w:ascii="Arial" w:eastAsia="Arial" w:hAnsi="Arial" w:cs="Arial"/>
          <w:sz w:val="20"/>
          <w:szCs w:val="20"/>
        </w:rPr>
      </w:pPr>
      <w:r w:rsidRPr="00CA02D0">
        <w:rPr>
          <w:rFonts w:ascii="Arial" w:hAnsi="Arial" w:cs="Arial"/>
          <w:sz w:val="20"/>
          <w:szCs w:val="20"/>
        </w:rPr>
        <w:t>Az irányító az átvehető hulladékot előkezelés, hasznosítás, illetve lerakás céljából a depónia térre, irányítja. Esetünkben a hulladéklerakás műveletei következnek.</w:t>
      </w:r>
    </w:p>
    <w:p w14:paraId="015E6F23" w14:textId="2DCBBD07" w:rsidR="005948BE" w:rsidRPr="00F045E4" w:rsidRDefault="005948BE" w:rsidP="005948BE">
      <w:pPr>
        <w:pStyle w:val="Listaszerbekezds"/>
        <w:numPr>
          <w:ilvl w:val="0"/>
          <w:numId w:val="2"/>
        </w:numPr>
        <w:spacing w:after="0" w:line="276" w:lineRule="auto"/>
        <w:jc w:val="both"/>
        <w:rPr>
          <w:rFonts w:ascii="Arial" w:eastAsia="Arial" w:hAnsi="Arial" w:cs="Arial"/>
          <w:sz w:val="20"/>
          <w:szCs w:val="20"/>
        </w:rPr>
      </w:pPr>
      <w:r w:rsidRPr="00B06709">
        <w:rPr>
          <w:rFonts w:ascii="Arial" w:hAnsi="Arial" w:cs="Arial"/>
          <w:sz w:val="20"/>
          <w:szCs w:val="20"/>
        </w:rPr>
        <w:t>Az ürítést követően a belső közlekedési úton és kerékfertőtlenítő medencén áthaladva a kimeneti mérlegre hajt</w:t>
      </w:r>
      <w:r>
        <w:rPr>
          <w:rFonts w:ascii="Arial" w:hAnsi="Arial" w:cs="Arial"/>
          <w:sz w:val="20"/>
          <w:szCs w:val="20"/>
        </w:rPr>
        <w:t>,</w:t>
      </w:r>
      <w:r w:rsidRPr="00B06709">
        <w:rPr>
          <w:rFonts w:ascii="Arial" w:hAnsi="Arial" w:cs="Arial"/>
          <w:sz w:val="20"/>
          <w:szCs w:val="20"/>
        </w:rPr>
        <w:t xml:space="preserve"> ahol az üres tömeget határozzák meg</w:t>
      </w:r>
      <w:r>
        <w:rPr>
          <w:rFonts w:ascii="Arial" w:hAnsi="Arial" w:cs="Arial"/>
          <w:sz w:val="20"/>
          <w:szCs w:val="20"/>
        </w:rPr>
        <w:t xml:space="preserve"> </w:t>
      </w:r>
      <w:r w:rsidRPr="00F045E4">
        <w:rPr>
          <w:rFonts w:ascii="Arial" w:eastAsia="Arial" w:hAnsi="Arial" w:cs="Arial"/>
          <w:color w:val="000000" w:themeColor="text1"/>
          <w:sz w:val="20"/>
          <w:szCs w:val="20"/>
        </w:rPr>
        <w:t>(</w:t>
      </w:r>
      <w:r w:rsidRPr="00F045E4">
        <w:rPr>
          <w:rFonts w:ascii="Arial" w:eastAsia="Arial" w:hAnsi="Arial" w:cs="Arial"/>
          <w:b/>
          <w:bCs/>
          <w:color w:val="000000" w:themeColor="text1"/>
          <w:sz w:val="20"/>
          <w:szCs w:val="20"/>
        </w:rPr>
        <w:t>kilépési mérlegelés</w:t>
      </w:r>
      <w:r w:rsidRPr="00F045E4">
        <w:rPr>
          <w:rFonts w:ascii="Arial" w:eastAsia="Arial" w:hAnsi="Arial" w:cs="Arial"/>
          <w:color w:val="000000" w:themeColor="text1"/>
          <w:sz w:val="20"/>
          <w:szCs w:val="20"/>
        </w:rPr>
        <w:t>)</w:t>
      </w:r>
      <w:r w:rsidRPr="00B06709">
        <w:rPr>
          <w:rFonts w:ascii="Arial" w:hAnsi="Arial" w:cs="Arial"/>
          <w:sz w:val="20"/>
          <w:szCs w:val="20"/>
        </w:rPr>
        <w:t>. A mérlegelés során mérlegjegy kerül kiállításra az ide vonatkozó telephelyi eljárások és utasítások alapján, melynek példányait</w:t>
      </w:r>
      <w:r>
        <w:rPr>
          <w:rFonts w:ascii="Arial" w:hAnsi="Arial" w:cs="Arial"/>
          <w:sz w:val="20"/>
          <w:szCs w:val="20"/>
        </w:rPr>
        <w:t xml:space="preserve"> az Üzemeltető,</w:t>
      </w:r>
      <w:r w:rsidRPr="00B06709">
        <w:rPr>
          <w:rFonts w:ascii="Arial" w:hAnsi="Arial" w:cs="Arial"/>
          <w:sz w:val="20"/>
          <w:szCs w:val="20"/>
        </w:rPr>
        <w:t xml:space="preserve"> a beszállító aláírásával igazolja. A szállítólevélen felrögzítésre kerülnek a beszállított hulladékkal kapcsolatos adatok, mely adatok helyességégéért a szállító képviselője (sofőr) aláírásával igazol. A kitöltött szállítólevél és megfelelően adminisztrált mérlegjegy birtokában az üres </w:t>
      </w:r>
      <w:proofErr w:type="spellStart"/>
      <w:r w:rsidRPr="00B06709">
        <w:rPr>
          <w:rFonts w:ascii="Arial" w:hAnsi="Arial" w:cs="Arial"/>
          <w:sz w:val="20"/>
          <w:szCs w:val="20"/>
        </w:rPr>
        <w:t>tgk-val</w:t>
      </w:r>
      <w:proofErr w:type="spellEnd"/>
      <w:r w:rsidRPr="00B06709">
        <w:rPr>
          <w:rFonts w:ascii="Arial" w:hAnsi="Arial" w:cs="Arial"/>
          <w:sz w:val="20"/>
          <w:szCs w:val="20"/>
        </w:rPr>
        <w:t xml:space="preserve"> a sofőr kihajt a PRHK területéről.</w:t>
      </w:r>
      <w:r w:rsidRPr="005948BE">
        <w:rPr>
          <w:rFonts w:ascii="Arial" w:eastAsia="Arial" w:hAnsi="Arial" w:cs="Arial"/>
          <w:color w:val="000000" w:themeColor="text1"/>
          <w:sz w:val="20"/>
          <w:szCs w:val="20"/>
        </w:rPr>
        <w:t xml:space="preserve"> </w:t>
      </w:r>
    </w:p>
    <w:p w14:paraId="21C5E1EB" w14:textId="77777777" w:rsidR="00E4791B" w:rsidRPr="00B71422" w:rsidRDefault="00E4791B" w:rsidP="00A765CA">
      <w:pPr>
        <w:autoSpaceDE w:val="0"/>
        <w:autoSpaceDN w:val="0"/>
        <w:adjustRightInd w:val="0"/>
        <w:spacing w:after="0" w:line="240" w:lineRule="auto"/>
        <w:jc w:val="both"/>
        <w:rPr>
          <w:rFonts w:ascii="Arial" w:hAnsi="Arial" w:cs="Arial"/>
          <w:kern w:val="0"/>
          <w:sz w:val="20"/>
          <w:szCs w:val="20"/>
        </w:rPr>
      </w:pPr>
    </w:p>
    <w:p w14:paraId="33B89662" w14:textId="77777777" w:rsidR="005948BE" w:rsidRPr="005948BE" w:rsidRDefault="005948BE" w:rsidP="005948BE">
      <w:pPr>
        <w:autoSpaceDE w:val="0"/>
        <w:autoSpaceDN w:val="0"/>
        <w:adjustRightInd w:val="0"/>
        <w:spacing w:after="0" w:line="240" w:lineRule="auto"/>
        <w:jc w:val="both"/>
        <w:rPr>
          <w:rFonts w:ascii="Arial" w:hAnsi="Arial" w:cs="Arial"/>
          <w:b/>
          <w:bCs/>
          <w:kern w:val="0"/>
          <w:sz w:val="20"/>
          <w:szCs w:val="20"/>
          <w:u w:val="single"/>
        </w:rPr>
      </w:pPr>
      <w:r w:rsidRPr="005948BE">
        <w:rPr>
          <w:rFonts w:ascii="Arial" w:hAnsi="Arial" w:cs="Arial"/>
          <w:b/>
          <w:bCs/>
          <w:kern w:val="0"/>
          <w:sz w:val="20"/>
          <w:szCs w:val="20"/>
          <w:u w:val="single"/>
        </w:rPr>
        <w:t>Ürítés</w:t>
      </w:r>
    </w:p>
    <w:p w14:paraId="17FE6B15" w14:textId="3A870186" w:rsidR="005948BE" w:rsidRPr="005948BE" w:rsidRDefault="005948BE" w:rsidP="00B71422">
      <w:pPr>
        <w:pStyle w:val="Listaszerbekezds"/>
        <w:numPr>
          <w:ilvl w:val="0"/>
          <w:numId w:val="3"/>
        </w:numPr>
        <w:autoSpaceDE w:val="0"/>
        <w:autoSpaceDN w:val="0"/>
        <w:adjustRightInd w:val="0"/>
        <w:spacing w:after="0" w:line="240" w:lineRule="auto"/>
        <w:jc w:val="both"/>
        <w:rPr>
          <w:rFonts w:ascii="Arial" w:hAnsi="Arial" w:cs="Arial"/>
          <w:sz w:val="20"/>
          <w:szCs w:val="20"/>
        </w:rPr>
      </w:pPr>
      <w:r w:rsidRPr="005948BE">
        <w:rPr>
          <w:rFonts w:ascii="Arial" w:hAnsi="Arial" w:cs="Arial"/>
          <w:sz w:val="20"/>
          <w:szCs w:val="20"/>
        </w:rPr>
        <w:t xml:space="preserve">Beszállító </w:t>
      </w:r>
      <w:r w:rsidRPr="00B71422">
        <w:rPr>
          <w:rFonts w:ascii="Arial" w:hAnsi="Arial" w:cs="Arial"/>
          <w:sz w:val="20"/>
          <w:szCs w:val="20"/>
        </w:rPr>
        <w:t>a belső közlekedő úton, a mindenkori feltöltési szintnek megfelelően hajt</w:t>
      </w:r>
      <w:r>
        <w:rPr>
          <w:rFonts w:ascii="Arial" w:hAnsi="Arial" w:cs="Arial"/>
          <w:sz w:val="20"/>
          <w:szCs w:val="20"/>
        </w:rPr>
        <w:t xml:space="preserve"> </w:t>
      </w:r>
      <w:r w:rsidRPr="005948BE">
        <w:rPr>
          <w:rFonts w:ascii="Arial" w:hAnsi="Arial" w:cs="Arial"/>
          <w:sz w:val="20"/>
          <w:szCs w:val="20"/>
        </w:rPr>
        <w:t xml:space="preserve">a lerakótérre. A szállító jármű vezetője a hulladékprizmán a forgalomirányító személy utasításainak megfelelő helyre manőverezve, </w:t>
      </w:r>
      <w:r w:rsidRPr="00217150">
        <w:rPr>
          <w:rFonts w:ascii="Arial" w:hAnsi="Arial" w:cs="Arial"/>
          <w:sz w:val="20"/>
          <w:szCs w:val="20"/>
        </w:rPr>
        <w:t>a</w:t>
      </w:r>
      <w:r w:rsidR="00B71422" w:rsidRPr="00217150">
        <w:rPr>
          <w:rFonts w:ascii="Arial" w:hAnsi="Arial" w:cs="Arial"/>
          <w:sz w:val="20"/>
          <w:szCs w:val="20"/>
        </w:rPr>
        <w:t>z Üzemeltető dolgozójának</w:t>
      </w:r>
      <w:r w:rsidRPr="00217150">
        <w:rPr>
          <w:rFonts w:ascii="Arial" w:hAnsi="Arial" w:cs="Arial"/>
          <w:sz w:val="20"/>
          <w:szCs w:val="20"/>
        </w:rPr>
        <w:t xml:space="preserve"> utasítása szerint</w:t>
      </w:r>
      <w:r w:rsidRPr="00B71422">
        <w:rPr>
          <w:rFonts w:ascii="Arial" w:hAnsi="Arial" w:cs="Arial"/>
          <w:sz w:val="20"/>
          <w:szCs w:val="20"/>
        </w:rPr>
        <w:t xml:space="preserve"> ürít.</w:t>
      </w:r>
    </w:p>
    <w:p w14:paraId="0A480EB7" w14:textId="4AA5DCE8" w:rsidR="005948BE" w:rsidRPr="00B71422" w:rsidRDefault="005948BE" w:rsidP="00B71422">
      <w:pPr>
        <w:pStyle w:val="Listaszerbekezds"/>
        <w:numPr>
          <w:ilvl w:val="0"/>
          <w:numId w:val="3"/>
        </w:numPr>
        <w:autoSpaceDE w:val="0"/>
        <w:autoSpaceDN w:val="0"/>
        <w:adjustRightInd w:val="0"/>
        <w:spacing w:after="0" w:line="240" w:lineRule="auto"/>
        <w:jc w:val="both"/>
        <w:rPr>
          <w:rFonts w:ascii="Arial" w:hAnsi="Arial" w:cs="Arial"/>
          <w:sz w:val="20"/>
          <w:szCs w:val="20"/>
        </w:rPr>
      </w:pPr>
      <w:r w:rsidRPr="00B71422">
        <w:rPr>
          <w:rFonts w:ascii="Arial" w:hAnsi="Arial" w:cs="Arial"/>
          <w:sz w:val="20"/>
          <w:szCs w:val="20"/>
        </w:rPr>
        <w:lastRenderedPageBreak/>
        <w:t xml:space="preserve">Az ürítőhelyen csak az a személy tartózkodhat, aki az ürítőszerkezet működtetését végzi, amennyiben az a gépből kiszállva végezhető csak el. A </w:t>
      </w:r>
      <w:proofErr w:type="spellStart"/>
      <w:r w:rsidRPr="00B71422">
        <w:rPr>
          <w:rFonts w:ascii="Arial" w:hAnsi="Arial" w:cs="Arial"/>
          <w:sz w:val="20"/>
          <w:szCs w:val="20"/>
        </w:rPr>
        <w:t>tgk</w:t>
      </w:r>
      <w:proofErr w:type="spellEnd"/>
      <w:r w:rsidRPr="00B71422">
        <w:rPr>
          <w:rFonts w:ascii="Arial" w:hAnsi="Arial" w:cs="Arial"/>
          <w:sz w:val="20"/>
          <w:szCs w:val="20"/>
        </w:rPr>
        <w:t>. többi személyzete a depónia téren nem szállhat ki a tehergépkocsiból.</w:t>
      </w:r>
    </w:p>
    <w:p w14:paraId="087A8509" w14:textId="461815AA" w:rsidR="005948BE" w:rsidRPr="00B71422" w:rsidRDefault="005948BE" w:rsidP="00B71422">
      <w:pPr>
        <w:pStyle w:val="Listaszerbekezds"/>
        <w:numPr>
          <w:ilvl w:val="0"/>
          <w:numId w:val="3"/>
        </w:numPr>
        <w:autoSpaceDE w:val="0"/>
        <w:autoSpaceDN w:val="0"/>
        <w:adjustRightInd w:val="0"/>
        <w:spacing w:after="0" w:line="240" w:lineRule="auto"/>
        <w:jc w:val="both"/>
        <w:rPr>
          <w:rFonts w:ascii="Arial" w:hAnsi="Arial" w:cs="Arial"/>
          <w:sz w:val="20"/>
          <w:szCs w:val="20"/>
        </w:rPr>
      </w:pPr>
      <w:r w:rsidRPr="00B71422">
        <w:rPr>
          <w:rFonts w:ascii="Arial" w:hAnsi="Arial" w:cs="Arial"/>
          <w:sz w:val="20"/>
          <w:szCs w:val="20"/>
        </w:rPr>
        <w:t>Az ürítést végző gépkezelő csak a beszállító jármű mellett tartózkodhat, ügyelve arra, hogy más céljármű vagy munkagép munkáját ne akadályozza.</w:t>
      </w:r>
    </w:p>
    <w:p w14:paraId="264ED45B" w14:textId="77777777" w:rsidR="005948BE" w:rsidRPr="00B71422" w:rsidRDefault="005948BE" w:rsidP="00B71422">
      <w:pPr>
        <w:pStyle w:val="Listaszerbekezds"/>
        <w:numPr>
          <w:ilvl w:val="0"/>
          <w:numId w:val="3"/>
        </w:numPr>
        <w:autoSpaceDE w:val="0"/>
        <w:autoSpaceDN w:val="0"/>
        <w:adjustRightInd w:val="0"/>
        <w:spacing w:after="0" w:line="240" w:lineRule="auto"/>
        <w:jc w:val="both"/>
        <w:rPr>
          <w:rFonts w:ascii="Arial" w:hAnsi="Arial" w:cs="Arial"/>
          <w:sz w:val="20"/>
          <w:szCs w:val="20"/>
        </w:rPr>
      </w:pPr>
      <w:r w:rsidRPr="00B71422">
        <w:rPr>
          <w:rFonts w:ascii="Arial" w:hAnsi="Arial" w:cs="Arial"/>
          <w:sz w:val="20"/>
          <w:szCs w:val="20"/>
        </w:rPr>
        <w:t>A balesetek elkerülése érdekében az ürítő jármű melletti körzetet elhagyni tilos! Az ürítést követően a kezelő személynek vissza kell szállnia a járműbe és az ürítési frontot a kijárat irányában a lehető leggyorsabban el kell hagynia.</w:t>
      </w:r>
    </w:p>
    <w:p w14:paraId="30CB60B6" w14:textId="77777777" w:rsidR="005948BE" w:rsidRDefault="005948BE" w:rsidP="005948BE">
      <w:pPr>
        <w:autoSpaceDE w:val="0"/>
        <w:autoSpaceDN w:val="0"/>
        <w:adjustRightInd w:val="0"/>
        <w:spacing w:after="0" w:line="240" w:lineRule="auto"/>
        <w:jc w:val="both"/>
        <w:rPr>
          <w:rFonts w:ascii="Arial" w:hAnsi="Arial" w:cs="Arial"/>
          <w:kern w:val="0"/>
          <w:sz w:val="20"/>
          <w:szCs w:val="20"/>
        </w:rPr>
      </w:pPr>
    </w:p>
    <w:p w14:paraId="12B222AC" w14:textId="5DD47E59" w:rsidR="00E4791B" w:rsidRPr="00B71422" w:rsidRDefault="005948BE" w:rsidP="005948BE">
      <w:pPr>
        <w:autoSpaceDE w:val="0"/>
        <w:autoSpaceDN w:val="0"/>
        <w:adjustRightInd w:val="0"/>
        <w:spacing w:after="0" w:line="240" w:lineRule="auto"/>
        <w:jc w:val="both"/>
        <w:rPr>
          <w:rFonts w:ascii="Arial" w:hAnsi="Arial" w:cs="Arial"/>
          <w:b/>
          <w:bCs/>
          <w:kern w:val="0"/>
          <w:sz w:val="20"/>
          <w:szCs w:val="20"/>
          <w:u w:val="single"/>
        </w:rPr>
      </w:pPr>
      <w:proofErr w:type="spellStart"/>
      <w:r w:rsidRPr="00B71422">
        <w:rPr>
          <w:rFonts w:ascii="Arial" w:hAnsi="Arial" w:cs="Arial"/>
          <w:b/>
          <w:bCs/>
          <w:kern w:val="0"/>
          <w:sz w:val="20"/>
          <w:szCs w:val="20"/>
          <w:u w:val="single"/>
        </w:rPr>
        <w:t>L</w:t>
      </w:r>
      <w:r>
        <w:rPr>
          <w:rFonts w:ascii="Arial" w:hAnsi="Arial" w:cs="Arial"/>
          <w:b/>
          <w:bCs/>
          <w:kern w:val="0"/>
          <w:sz w:val="20"/>
          <w:szCs w:val="20"/>
          <w:u w:val="single"/>
        </w:rPr>
        <w:t>erakásos</w:t>
      </w:r>
      <w:proofErr w:type="spellEnd"/>
      <w:r w:rsidRPr="00B71422">
        <w:rPr>
          <w:rFonts w:ascii="Arial" w:hAnsi="Arial" w:cs="Arial"/>
          <w:b/>
          <w:bCs/>
          <w:kern w:val="0"/>
          <w:sz w:val="20"/>
          <w:szCs w:val="20"/>
          <w:u w:val="single"/>
        </w:rPr>
        <w:t xml:space="preserve"> </w:t>
      </w:r>
      <w:r>
        <w:rPr>
          <w:rFonts w:ascii="Arial" w:hAnsi="Arial" w:cs="Arial"/>
          <w:b/>
          <w:bCs/>
          <w:kern w:val="0"/>
          <w:sz w:val="20"/>
          <w:szCs w:val="20"/>
          <w:u w:val="single"/>
        </w:rPr>
        <w:t>ártalmatlanítás</w:t>
      </w:r>
    </w:p>
    <w:p w14:paraId="0040CF15" w14:textId="77777777" w:rsidR="00E4791B" w:rsidRPr="00B71422" w:rsidRDefault="00E4791B" w:rsidP="00E4791B">
      <w:pPr>
        <w:autoSpaceDE w:val="0"/>
        <w:autoSpaceDN w:val="0"/>
        <w:adjustRightInd w:val="0"/>
        <w:spacing w:after="0" w:line="240" w:lineRule="auto"/>
        <w:jc w:val="both"/>
        <w:rPr>
          <w:rFonts w:ascii="Arial" w:hAnsi="Arial" w:cs="Arial"/>
          <w:kern w:val="0"/>
          <w:sz w:val="20"/>
          <w:szCs w:val="20"/>
        </w:rPr>
      </w:pPr>
    </w:p>
    <w:p w14:paraId="44657483" w14:textId="26946B8A" w:rsidR="00E4791B" w:rsidRPr="00B71422" w:rsidRDefault="00E4791B" w:rsidP="00A765CA">
      <w:pPr>
        <w:autoSpaceDE w:val="0"/>
        <w:autoSpaceDN w:val="0"/>
        <w:adjustRightInd w:val="0"/>
        <w:spacing w:after="0" w:line="240" w:lineRule="auto"/>
        <w:jc w:val="both"/>
        <w:rPr>
          <w:rFonts w:ascii="Arial" w:hAnsi="Arial" w:cs="Arial"/>
          <w:kern w:val="0"/>
          <w:sz w:val="20"/>
          <w:szCs w:val="20"/>
        </w:rPr>
      </w:pPr>
      <w:r w:rsidRPr="00B71422">
        <w:rPr>
          <w:rFonts w:ascii="Arial" w:hAnsi="Arial" w:cs="Arial"/>
          <w:kern w:val="0"/>
          <w:sz w:val="20"/>
          <w:szCs w:val="20"/>
        </w:rPr>
        <w:t>A hulladék lerakással történő ártalmatlanítására közvetlenül az érkeztetést</w:t>
      </w:r>
      <w:r w:rsidR="009D3D3F" w:rsidRPr="00B71422">
        <w:rPr>
          <w:rFonts w:ascii="Arial" w:hAnsi="Arial" w:cs="Arial"/>
          <w:kern w:val="0"/>
          <w:sz w:val="20"/>
          <w:szCs w:val="20"/>
        </w:rPr>
        <w:t xml:space="preserve"> </w:t>
      </w:r>
      <w:r w:rsidRPr="00B71422">
        <w:rPr>
          <w:rFonts w:ascii="Arial" w:hAnsi="Arial" w:cs="Arial"/>
          <w:kern w:val="0"/>
          <w:sz w:val="20"/>
          <w:szCs w:val="20"/>
        </w:rPr>
        <w:t>követően kerül sor.</w:t>
      </w:r>
    </w:p>
    <w:p w14:paraId="4645C552" w14:textId="77777777" w:rsidR="00053CB1" w:rsidRPr="00B71422" w:rsidRDefault="00053CB1" w:rsidP="00A765CA">
      <w:pPr>
        <w:autoSpaceDE w:val="0"/>
        <w:autoSpaceDN w:val="0"/>
        <w:adjustRightInd w:val="0"/>
        <w:spacing w:after="0" w:line="240" w:lineRule="auto"/>
        <w:jc w:val="both"/>
        <w:rPr>
          <w:rFonts w:ascii="Arial" w:hAnsi="Arial" w:cs="Arial"/>
          <w:kern w:val="0"/>
          <w:sz w:val="20"/>
          <w:szCs w:val="20"/>
        </w:rPr>
      </w:pPr>
    </w:p>
    <w:p w14:paraId="02E15336" w14:textId="77777777" w:rsidR="005948BE" w:rsidRPr="00F045E4" w:rsidRDefault="005948BE" w:rsidP="005948BE">
      <w:pPr>
        <w:spacing w:after="120" w:line="276" w:lineRule="auto"/>
        <w:jc w:val="both"/>
        <w:rPr>
          <w:rFonts w:ascii="Arial" w:eastAsia="Arial" w:hAnsi="Arial" w:cs="Arial"/>
          <w:b/>
          <w:bCs/>
          <w:sz w:val="20"/>
          <w:szCs w:val="20"/>
          <w:u w:val="single"/>
        </w:rPr>
      </w:pPr>
      <w:r w:rsidRPr="00F045E4">
        <w:rPr>
          <w:rFonts w:ascii="Arial" w:eastAsia="Arial" w:hAnsi="Arial" w:cs="Arial"/>
          <w:b/>
          <w:bCs/>
          <w:sz w:val="20"/>
          <w:szCs w:val="20"/>
          <w:u w:val="single"/>
        </w:rPr>
        <w:t xml:space="preserve">Egyéb magatartási </w:t>
      </w:r>
      <w:r>
        <w:rPr>
          <w:rFonts w:ascii="Arial" w:eastAsia="Arial" w:hAnsi="Arial" w:cs="Arial"/>
          <w:b/>
          <w:bCs/>
          <w:sz w:val="20"/>
          <w:szCs w:val="20"/>
          <w:u w:val="single"/>
        </w:rPr>
        <w:t xml:space="preserve">és közlekedési </w:t>
      </w:r>
      <w:r w:rsidRPr="00F045E4">
        <w:rPr>
          <w:rFonts w:ascii="Arial" w:eastAsia="Arial" w:hAnsi="Arial" w:cs="Arial"/>
          <w:b/>
          <w:bCs/>
          <w:sz w:val="20"/>
          <w:szCs w:val="20"/>
          <w:u w:val="single"/>
        </w:rPr>
        <w:t>szabályok:</w:t>
      </w:r>
    </w:p>
    <w:p w14:paraId="1941F64B" w14:textId="13D3BF81" w:rsidR="005948BE" w:rsidRDefault="005948BE" w:rsidP="005948BE">
      <w:pPr>
        <w:pStyle w:val="Listaszerbekezds"/>
        <w:numPr>
          <w:ilvl w:val="0"/>
          <w:numId w:val="4"/>
        </w:numPr>
        <w:spacing w:after="0" w:line="276" w:lineRule="auto"/>
        <w:contextualSpacing w:val="0"/>
        <w:jc w:val="both"/>
        <w:rPr>
          <w:rFonts w:ascii="Arial" w:eastAsia="Arial" w:hAnsi="Arial" w:cs="Arial"/>
          <w:sz w:val="20"/>
          <w:szCs w:val="20"/>
        </w:rPr>
      </w:pPr>
      <w:r w:rsidRPr="00F045E4">
        <w:rPr>
          <w:rFonts w:ascii="Arial" w:eastAsia="Arial" w:hAnsi="Arial" w:cs="Arial"/>
          <w:sz w:val="20"/>
          <w:szCs w:val="20"/>
        </w:rPr>
        <w:t>Beszállítója</w:t>
      </w:r>
      <w:r w:rsidRPr="00426354">
        <w:rPr>
          <w:rFonts w:ascii="Arial" w:eastAsia="Arial" w:hAnsi="Arial" w:cs="Arial"/>
          <w:sz w:val="20"/>
          <w:szCs w:val="20"/>
        </w:rPr>
        <w:t xml:space="preserve"> köteles a </w:t>
      </w:r>
      <w:r>
        <w:rPr>
          <w:rFonts w:ascii="Arial" w:eastAsia="Arial" w:hAnsi="Arial" w:cs="Arial"/>
          <w:sz w:val="20"/>
          <w:szCs w:val="20"/>
        </w:rPr>
        <w:t>PRHK</w:t>
      </w:r>
      <w:r w:rsidRPr="00426354">
        <w:rPr>
          <w:rFonts w:ascii="Arial" w:eastAsia="Arial" w:hAnsi="Arial" w:cs="Arial"/>
          <w:sz w:val="20"/>
          <w:szCs w:val="20"/>
        </w:rPr>
        <w:t xml:space="preserve"> telephelyén a helyi vezető üzemen belüli belső rendre és forgalomra vonatkozó utasításait, a KRESZ vonatkozó szabályait, valamint tűz- munka- és balesetvédelmi szabályokat betartani</w:t>
      </w:r>
      <w:r>
        <w:rPr>
          <w:rFonts w:ascii="Arial" w:eastAsia="Arial" w:hAnsi="Arial" w:cs="Arial"/>
          <w:sz w:val="20"/>
          <w:szCs w:val="20"/>
        </w:rPr>
        <w:t>.</w:t>
      </w:r>
    </w:p>
    <w:p w14:paraId="11A69A9A" w14:textId="1BBBD90E" w:rsidR="005948BE" w:rsidRPr="002D4C93" w:rsidRDefault="005948BE" w:rsidP="005948BE">
      <w:pPr>
        <w:pStyle w:val="Listaszerbekezds"/>
        <w:numPr>
          <w:ilvl w:val="0"/>
          <w:numId w:val="4"/>
        </w:numPr>
        <w:spacing w:after="0" w:line="276" w:lineRule="auto"/>
        <w:contextualSpacing w:val="0"/>
        <w:jc w:val="both"/>
        <w:rPr>
          <w:rFonts w:ascii="Arial" w:eastAsia="Arial" w:hAnsi="Arial" w:cs="Arial"/>
          <w:sz w:val="20"/>
          <w:szCs w:val="20"/>
        </w:rPr>
      </w:pPr>
      <w:r>
        <w:rPr>
          <w:rFonts w:ascii="Arial" w:eastAsia="Arial" w:hAnsi="Arial" w:cs="Arial"/>
          <w:sz w:val="20"/>
          <w:szCs w:val="20"/>
        </w:rPr>
        <w:t>V</w:t>
      </w:r>
      <w:r w:rsidRPr="00426354">
        <w:rPr>
          <w:rFonts w:ascii="Arial" w:eastAsia="Arial" w:hAnsi="Arial" w:cs="Arial"/>
          <w:sz w:val="20"/>
          <w:szCs w:val="20"/>
        </w:rPr>
        <w:t xml:space="preserve">eszélyes, radioaktív, robbanó, mérgező, képlékeny, folyékony, erősen bűzlő anyagot a </w:t>
      </w:r>
      <w:r>
        <w:rPr>
          <w:rFonts w:ascii="Arial" w:eastAsia="Arial" w:hAnsi="Arial" w:cs="Arial"/>
          <w:sz w:val="20"/>
          <w:szCs w:val="20"/>
        </w:rPr>
        <w:t>PRHK</w:t>
      </w:r>
      <w:r w:rsidRPr="00426354">
        <w:rPr>
          <w:rFonts w:ascii="Arial" w:eastAsia="Arial" w:hAnsi="Arial" w:cs="Arial"/>
          <w:sz w:val="20"/>
          <w:szCs w:val="20"/>
        </w:rPr>
        <w:t xml:space="preserve"> telephelyére bevinni is tilos.</w:t>
      </w:r>
    </w:p>
    <w:p w14:paraId="3F85B9B9" w14:textId="77777777" w:rsidR="005948BE" w:rsidRDefault="005948BE" w:rsidP="005948BE">
      <w:pPr>
        <w:pStyle w:val="Listaszerbekezds"/>
        <w:numPr>
          <w:ilvl w:val="0"/>
          <w:numId w:val="4"/>
        </w:numPr>
        <w:spacing w:after="0" w:line="276" w:lineRule="auto"/>
        <w:jc w:val="both"/>
        <w:rPr>
          <w:rFonts w:ascii="Arial" w:eastAsia="Arial" w:hAnsi="Arial" w:cs="Arial"/>
          <w:sz w:val="20"/>
          <w:szCs w:val="20"/>
        </w:rPr>
      </w:pPr>
      <w:r w:rsidRPr="00F045E4">
        <w:rPr>
          <w:rFonts w:ascii="Arial" w:eastAsia="Arial" w:hAnsi="Arial" w:cs="Arial"/>
          <w:sz w:val="20"/>
          <w:szCs w:val="20"/>
        </w:rPr>
        <w:t xml:space="preserve">Beszállító a kötelezettségeinek teljesítése során a telephely működésének korlátozása, zavarása, akadályozása vagy ellehetetlenítése nélkül köteles eljárni; </w:t>
      </w:r>
    </w:p>
    <w:p w14:paraId="0832B565" w14:textId="77777777" w:rsidR="005948BE" w:rsidRPr="00F045E4" w:rsidRDefault="005948BE" w:rsidP="005948BE">
      <w:pPr>
        <w:pStyle w:val="Listaszerbekezds"/>
        <w:numPr>
          <w:ilvl w:val="0"/>
          <w:numId w:val="4"/>
        </w:numPr>
        <w:spacing w:after="0" w:line="276" w:lineRule="auto"/>
        <w:jc w:val="both"/>
        <w:rPr>
          <w:rFonts w:ascii="Arial" w:eastAsia="Arial" w:hAnsi="Arial" w:cs="Arial"/>
          <w:sz w:val="20"/>
          <w:szCs w:val="20"/>
        </w:rPr>
      </w:pPr>
      <w:r w:rsidRPr="002F1E17">
        <w:rPr>
          <w:rFonts w:ascii="Arial" w:eastAsia="Arial" w:hAnsi="Arial" w:cs="Arial"/>
          <w:sz w:val="20"/>
          <w:szCs w:val="20"/>
        </w:rPr>
        <w:t xml:space="preserve">Beszállító az Üzemeltető telephelyén kizárólag a belső utasítások, szabályzatok szerint, és kizárólag a hulladék átadásával, leürítésével kapcsolatban </w:t>
      </w:r>
      <w:r>
        <w:rPr>
          <w:rFonts w:ascii="Arial" w:eastAsia="Arial" w:hAnsi="Arial" w:cs="Arial"/>
          <w:sz w:val="20"/>
          <w:szCs w:val="20"/>
        </w:rPr>
        <w:t xml:space="preserve">jogosult </w:t>
      </w:r>
      <w:r w:rsidRPr="002F1E17">
        <w:rPr>
          <w:rFonts w:ascii="Arial" w:eastAsia="Arial" w:hAnsi="Arial" w:cs="Arial"/>
          <w:sz w:val="20"/>
          <w:szCs w:val="20"/>
        </w:rPr>
        <w:t>tevékenyked</w:t>
      </w:r>
      <w:r>
        <w:rPr>
          <w:rFonts w:ascii="Arial" w:eastAsia="Arial" w:hAnsi="Arial" w:cs="Arial"/>
          <w:sz w:val="20"/>
          <w:szCs w:val="20"/>
        </w:rPr>
        <w:t>ni</w:t>
      </w:r>
      <w:r w:rsidRPr="002F1E17">
        <w:rPr>
          <w:rFonts w:ascii="Arial" w:eastAsia="Arial" w:hAnsi="Arial" w:cs="Arial"/>
          <w:sz w:val="20"/>
          <w:szCs w:val="20"/>
        </w:rPr>
        <w:t>, ennek érdekében Beszállító az Üzemeltető telephelyén az Üzemeltető munkavállalója, vagy annak szerződéses partnere jelenlétében jogosult tartózkodni, illetve bármilyen tevékenységet folytatni, melyre tekintettel az említett tevékenység folytatásához szükséges személy jelenlétéről és rendelkezésre állásáról az Üzemeltető köteles gondoskodni.</w:t>
      </w:r>
    </w:p>
    <w:p w14:paraId="7DDB7B84" w14:textId="183CDDF1" w:rsidR="005948BE" w:rsidRDefault="005948BE" w:rsidP="005948BE">
      <w:pPr>
        <w:pStyle w:val="Listaszerbekezds"/>
        <w:numPr>
          <w:ilvl w:val="0"/>
          <w:numId w:val="4"/>
        </w:numPr>
        <w:spacing w:after="0" w:line="276" w:lineRule="auto"/>
        <w:jc w:val="both"/>
        <w:rPr>
          <w:rFonts w:ascii="Arial" w:eastAsia="Arial" w:hAnsi="Arial" w:cs="Arial"/>
          <w:sz w:val="20"/>
          <w:szCs w:val="20"/>
        </w:rPr>
      </w:pPr>
      <w:r w:rsidRPr="00F045E4">
        <w:rPr>
          <w:rFonts w:ascii="Arial" w:eastAsia="Arial" w:hAnsi="Arial" w:cs="Arial"/>
          <w:sz w:val="20"/>
          <w:szCs w:val="20"/>
        </w:rPr>
        <w:t>Beszállító felelős az általa okozott károkért.</w:t>
      </w:r>
    </w:p>
    <w:p w14:paraId="65EEB57B" w14:textId="7AD517FF" w:rsidR="00CA7885" w:rsidRPr="00F045E4" w:rsidRDefault="00CA7885" w:rsidP="005948BE">
      <w:pPr>
        <w:pStyle w:val="Listaszerbekezds"/>
        <w:numPr>
          <w:ilvl w:val="0"/>
          <w:numId w:val="4"/>
        </w:numPr>
        <w:spacing w:after="0" w:line="276" w:lineRule="auto"/>
        <w:jc w:val="both"/>
        <w:rPr>
          <w:rFonts w:ascii="Arial" w:eastAsia="Arial" w:hAnsi="Arial" w:cs="Arial"/>
          <w:sz w:val="20"/>
          <w:szCs w:val="20"/>
        </w:rPr>
      </w:pPr>
      <w:r>
        <w:rPr>
          <w:rFonts w:ascii="Arial" w:eastAsia="Arial" w:hAnsi="Arial" w:cs="Arial"/>
          <w:sz w:val="20"/>
          <w:szCs w:val="20"/>
        </w:rPr>
        <w:t>A telephely teljes területén tilos a dohányzás és nyílt láng használata (kivétel a kijelölt dohányzóhely)</w:t>
      </w:r>
    </w:p>
    <w:p w14:paraId="07357544" w14:textId="77777777" w:rsidR="007608F5" w:rsidRDefault="007608F5" w:rsidP="007608F5">
      <w:pPr>
        <w:jc w:val="center"/>
        <w:rPr>
          <w:rFonts w:ascii="Arial" w:hAnsi="Arial" w:cs="Arial"/>
          <w:sz w:val="20"/>
          <w:szCs w:val="20"/>
        </w:rPr>
      </w:pPr>
    </w:p>
    <w:p w14:paraId="4CC556A8" w14:textId="499A404D" w:rsidR="006D3B9E" w:rsidRPr="006D3B9E" w:rsidRDefault="006D3B9E" w:rsidP="006D3B9E">
      <w:pPr>
        <w:rPr>
          <w:rFonts w:ascii="Arial" w:hAnsi="Arial" w:cs="Arial"/>
          <w:b/>
          <w:bCs/>
          <w:sz w:val="20"/>
          <w:szCs w:val="20"/>
        </w:rPr>
      </w:pPr>
      <w:r>
        <w:rPr>
          <w:rFonts w:ascii="Arial" w:hAnsi="Arial" w:cs="Arial"/>
          <w:b/>
          <w:bCs/>
          <w:sz w:val="20"/>
          <w:szCs w:val="20"/>
        </w:rPr>
        <w:br w:type="page"/>
      </w:r>
    </w:p>
    <w:p w14:paraId="17591C7C" w14:textId="2039F0C2" w:rsidR="006D3B9E" w:rsidRPr="006D3B9E" w:rsidRDefault="006D3B9E" w:rsidP="007608F5">
      <w:pPr>
        <w:jc w:val="center"/>
        <w:rPr>
          <w:rFonts w:ascii="Arial" w:hAnsi="Arial" w:cs="Arial"/>
          <w:b/>
          <w:bCs/>
          <w:sz w:val="20"/>
          <w:szCs w:val="20"/>
        </w:rPr>
      </w:pPr>
      <w:r w:rsidRPr="006D3B9E">
        <w:rPr>
          <w:rFonts w:ascii="Arial" w:hAnsi="Arial" w:cs="Arial"/>
          <w:b/>
          <w:bCs/>
          <w:sz w:val="20"/>
          <w:szCs w:val="20"/>
        </w:rPr>
        <w:lastRenderedPageBreak/>
        <w:t>*</w:t>
      </w:r>
      <w:r w:rsidRPr="006D3B9E">
        <w:rPr>
          <w:rFonts w:ascii="Arial" w:hAnsi="Arial" w:cs="Arial"/>
          <w:b/>
          <w:bCs/>
          <w:kern w:val="0"/>
          <w14:ligatures w14:val="none"/>
        </w:rPr>
        <w:t xml:space="preserve"> </w:t>
      </w:r>
      <w:r w:rsidRPr="006D3B9E">
        <w:rPr>
          <w:rFonts w:ascii="Arial" w:hAnsi="Arial" w:cs="Arial"/>
          <w:b/>
          <w:bCs/>
          <w:sz w:val="20"/>
          <w:szCs w:val="20"/>
        </w:rPr>
        <w:t>Alapjellemzéshez szükséges vizsgálatok nélkül B3 típusú hulladéklerakón átvehető hulladékok</w:t>
      </w:r>
    </w:p>
    <w:p w14:paraId="474BA330" w14:textId="77777777" w:rsidR="006D3B9E" w:rsidRPr="006D3B9E" w:rsidRDefault="006D3B9E" w:rsidP="006D3B9E">
      <w:pPr>
        <w:jc w:val="both"/>
        <w:rPr>
          <w:rFonts w:ascii="Arial" w:hAnsi="Arial" w:cs="Arial"/>
          <w:sz w:val="20"/>
          <w:szCs w:val="20"/>
        </w:rPr>
      </w:pPr>
      <w:r w:rsidRPr="006D3B9E">
        <w:rPr>
          <w:rFonts w:ascii="Arial" w:hAnsi="Arial" w:cs="Arial"/>
          <w:sz w:val="20"/>
          <w:szCs w:val="20"/>
        </w:rPr>
        <w:t xml:space="preserve">B3 alkategóriájú hulladéklerakón </w:t>
      </w:r>
      <w:r w:rsidRPr="006D3B9E">
        <w:rPr>
          <w:rFonts w:ascii="Arial" w:hAnsi="Arial" w:cs="Arial"/>
          <w:b/>
          <w:sz w:val="20"/>
          <w:szCs w:val="20"/>
        </w:rPr>
        <w:t xml:space="preserve">alapjellemzéshez szükséges </w:t>
      </w:r>
      <w:r w:rsidRPr="006D3B9E">
        <w:rPr>
          <w:rFonts w:ascii="Arial" w:hAnsi="Arial" w:cs="Arial"/>
          <w:b/>
          <w:sz w:val="20"/>
          <w:szCs w:val="20"/>
          <w:u w:val="single"/>
        </w:rPr>
        <w:t>vizsgálatok nélkül átvehetők</w:t>
      </w:r>
      <w:r w:rsidRPr="006D3B9E">
        <w:rPr>
          <w:rFonts w:ascii="Arial" w:hAnsi="Arial" w:cs="Arial"/>
          <w:sz w:val="20"/>
          <w:szCs w:val="20"/>
        </w:rPr>
        <w:t xml:space="preserve"> a 20/2006. (IV.5.) </w:t>
      </w:r>
      <w:proofErr w:type="spellStart"/>
      <w:r w:rsidRPr="006D3B9E">
        <w:rPr>
          <w:rFonts w:ascii="Arial" w:hAnsi="Arial" w:cs="Arial"/>
          <w:sz w:val="20"/>
          <w:szCs w:val="20"/>
        </w:rPr>
        <w:t>KvVm</w:t>
      </w:r>
      <w:proofErr w:type="spellEnd"/>
      <w:r w:rsidRPr="006D3B9E">
        <w:rPr>
          <w:rFonts w:ascii="Arial" w:hAnsi="Arial" w:cs="Arial"/>
          <w:sz w:val="20"/>
          <w:szCs w:val="20"/>
        </w:rPr>
        <w:t xml:space="preserve"> rendelet 2. sz. melléklet </w:t>
      </w:r>
      <w:r w:rsidRPr="006D3B9E">
        <w:rPr>
          <w:rFonts w:ascii="Arial" w:hAnsi="Arial" w:cs="Arial"/>
          <w:b/>
          <w:sz w:val="20"/>
          <w:szCs w:val="20"/>
        </w:rPr>
        <w:t>2.1.-1. táblázatban felsorolt inert hulladékok</w:t>
      </w:r>
      <w:r w:rsidRPr="006D3B9E">
        <w:rPr>
          <w:rFonts w:ascii="Arial" w:hAnsi="Arial" w:cs="Arial"/>
          <w:sz w:val="20"/>
          <w:szCs w:val="20"/>
        </w:rPr>
        <w:t xml:space="preserve">, a külön jogszabály szerinti hulladékjegyzék </w:t>
      </w:r>
      <w:r w:rsidRPr="006D3B9E">
        <w:rPr>
          <w:rFonts w:ascii="Arial" w:hAnsi="Arial" w:cs="Arial"/>
          <w:b/>
          <w:sz w:val="20"/>
          <w:szCs w:val="20"/>
        </w:rPr>
        <w:t>EWC 20-as főcsoportjában felsorolt, vegyesen gyűjtött, nem veszélyes szilárd hulladékok</w:t>
      </w:r>
      <w:r w:rsidRPr="006D3B9E">
        <w:rPr>
          <w:rFonts w:ascii="Arial" w:hAnsi="Arial" w:cs="Arial"/>
          <w:sz w:val="20"/>
          <w:szCs w:val="20"/>
        </w:rPr>
        <w:t>, kivéve az EWC 20 01 41 kéménysöprésből származó hulladékot, ami csak vizsgálat alapján vehető át.</w:t>
      </w:r>
    </w:p>
    <w:p w14:paraId="3BC04E57" w14:textId="77777777" w:rsidR="006D3B9E" w:rsidRPr="006D3B9E" w:rsidRDefault="006D3B9E" w:rsidP="006D3B9E">
      <w:pPr>
        <w:jc w:val="both"/>
        <w:rPr>
          <w:rFonts w:ascii="Arial" w:hAnsi="Arial" w:cs="Arial"/>
          <w:sz w:val="20"/>
          <w:szCs w:val="20"/>
        </w:rPr>
      </w:pPr>
      <w:bookmarkStart w:id="0" w:name="pr392"/>
      <w:bookmarkEnd w:id="0"/>
      <w:r w:rsidRPr="006D3B9E">
        <w:rPr>
          <w:rFonts w:ascii="Arial" w:hAnsi="Arial" w:cs="Arial"/>
          <w:b/>
          <w:sz w:val="20"/>
          <w:szCs w:val="20"/>
        </w:rPr>
        <w:t>Vizsgálatok alapján vehetők át</w:t>
      </w:r>
      <w:r w:rsidRPr="006D3B9E">
        <w:rPr>
          <w:rFonts w:ascii="Arial" w:hAnsi="Arial" w:cs="Arial"/>
          <w:sz w:val="20"/>
          <w:szCs w:val="20"/>
        </w:rPr>
        <w:t xml:space="preserve"> más nem veszélyes hulladékok, ha eleget tesznek a B1b alkategóriájú hulladéklerakókra vonatkozó átvételi követelményeknek a 2.2.1.-1. táblázatban felsorolt határértékek alapján.</w:t>
      </w:r>
    </w:p>
    <w:p w14:paraId="5B8A3AA4" w14:textId="77777777" w:rsidR="006D3B9E" w:rsidRPr="006D3B9E" w:rsidRDefault="006D3B9E" w:rsidP="006D3B9E">
      <w:pPr>
        <w:jc w:val="center"/>
        <w:rPr>
          <w:rFonts w:ascii="Arial" w:hAnsi="Arial" w:cs="Arial"/>
          <w:sz w:val="20"/>
          <w:szCs w:val="20"/>
        </w:rPr>
      </w:pPr>
      <w:r w:rsidRPr="006D3B9E">
        <w:rPr>
          <w:rFonts w:ascii="Arial" w:hAnsi="Arial" w:cs="Arial"/>
          <w:sz w:val="20"/>
          <w:szCs w:val="20"/>
        </w:rPr>
        <w:t>2.1.-1. táblázat</w:t>
      </w:r>
      <w:bookmarkStart w:id="1" w:name="pr295"/>
      <w:bookmarkEnd w:id="1"/>
      <w:r w:rsidRPr="006D3B9E">
        <w:rPr>
          <w:rFonts w:ascii="Arial" w:hAnsi="Arial" w:cs="Arial"/>
          <w:sz w:val="20"/>
          <w:szCs w:val="20"/>
        </w:rPr>
        <w:t>: Alapjellemzéshez szükséges vizsgálatok nélkül átvehető inert hulladékok</w:t>
      </w:r>
    </w:p>
    <w:tbl>
      <w:tblPr>
        <w:tblStyle w:val="Rcsostblzat"/>
        <w:tblW w:w="0" w:type="auto"/>
        <w:tblLook w:val="04A0" w:firstRow="1" w:lastRow="0" w:firstColumn="1" w:lastColumn="0" w:noHBand="0" w:noVBand="1"/>
      </w:tblPr>
      <w:tblGrid>
        <w:gridCol w:w="1780"/>
        <w:gridCol w:w="3348"/>
        <w:gridCol w:w="3934"/>
      </w:tblGrid>
      <w:tr w:rsidR="006D3B9E" w:rsidRPr="006D3B9E" w14:paraId="7A9788AB" w14:textId="77777777" w:rsidTr="006D3B9E">
        <w:tc>
          <w:tcPr>
            <w:tcW w:w="1809" w:type="dxa"/>
            <w:vAlign w:val="center"/>
          </w:tcPr>
          <w:p w14:paraId="60F89A04" w14:textId="77777777" w:rsidR="006D3B9E" w:rsidRPr="006D3B9E" w:rsidRDefault="006D3B9E" w:rsidP="006D3B9E">
            <w:pPr>
              <w:spacing w:after="160" w:line="259" w:lineRule="auto"/>
              <w:jc w:val="center"/>
              <w:rPr>
                <w:rFonts w:ascii="Arial" w:hAnsi="Arial" w:cs="Arial"/>
                <w:b/>
                <w:sz w:val="16"/>
                <w:szCs w:val="16"/>
              </w:rPr>
            </w:pPr>
            <w:r w:rsidRPr="006D3B9E">
              <w:rPr>
                <w:rFonts w:ascii="Arial" w:hAnsi="Arial" w:cs="Arial"/>
                <w:b/>
                <w:sz w:val="16"/>
                <w:szCs w:val="16"/>
              </w:rPr>
              <w:t>EWC kód</w:t>
            </w:r>
          </w:p>
        </w:tc>
        <w:tc>
          <w:tcPr>
            <w:tcW w:w="3402" w:type="dxa"/>
            <w:vAlign w:val="center"/>
          </w:tcPr>
          <w:p w14:paraId="3C396FA2" w14:textId="77777777" w:rsidR="006D3B9E" w:rsidRPr="006D3B9E" w:rsidRDefault="006D3B9E" w:rsidP="006D3B9E">
            <w:pPr>
              <w:spacing w:after="160" w:line="259" w:lineRule="auto"/>
              <w:jc w:val="center"/>
              <w:rPr>
                <w:rFonts w:ascii="Arial" w:hAnsi="Arial" w:cs="Arial"/>
                <w:b/>
                <w:sz w:val="16"/>
                <w:szCs w:val="16"/>
              </w:rPr>
            </w:pPr>
            <w:r w:rsidRPr="006D3B9E">
              <w:rPr>
                <w:rFonts w:ascii="Arial" w:hAnsi="Arial" w:cs="Arial"/>
                <w:b/>
                <w:sz w:val="16"/>
                <w:szCs w:val="16"/>
              </w:rPr>
              <w:t>Leírás</w:t>
            </w:r>
          </w:p>
        </w:tc>
        <w:tc>
          <w:tcPr>
            <w:tcW w:w="4001" w:type="dxa"/>
            <w:vAlign w:val="center"/>
          </w:tcPr>
          <w:p w14:paraId="027C6E13" w14:textId="77777777" w:rsidR="006D3B9E" w:rsidRPr="006D3B9E" w:rsidRDefault="006D3B9E" w:rsidP="006D3B9E">
            <w:pPr>
              <w:spacing w:after="160" w:line="259" w:lineRule="auto"/>
              <w:jc w:val="center"/>
              <w:rPr>
                <w:rFonts w:ascii="Arial" w:hAnsi="Arial" w:cs="Arial"/>
                <w:b/>
                <w:sz w:val="16"/>
                <w:szCs w:val="16"/>
              </w:rPr>
            </w:pPr>
            <w:r w:rsidRPr="006D3B9E">
              <w:rPr>
                <w:rFonts w:ascii="Arial" w:hAnsi="Arial" w:cs="Arial"/>
                <w:b/>
                <w:sz w:val="16"/>
                <w:szCs w:val="16"/>
              </w:rPr>
              <w:t>Korlátozások</w:t>
            </w:r>
          </w:p>
        </w:tc>
      </w:tr>
      <w:tr w:rsidR="006D3B9E" w:rsidRPr="006D3B9E" w14:paraId="1998D836" w14:textId="77777777" w:rsidTr="006D3B9E">
        <w:tc>
          <w:tcPr>
            <w:tcW w:w="1809" w:type="dxa"/>
            <w:vAlign w:val="center"/>
          </w:tcPr>
          <w:p w14:paraId="22630A0D"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10 11 03</w:t>
            </w:r>
          </w:p>
        </w:tc>
        <w:tc>
          <w:tcPr>
            <w:tcW w:w="3402" w:type="dxa"/>
            <w:vAlign w:val="center"/>
          </w:tcPr>
          <w:p w14:paraId="4C855DED"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Üveg alapú, szálas anyagok hulladékai</w:t>
            </w:r>
          </w:p>
        </w:tc>
        <w:tc>
          <w:tcPr>
            <w:tcW w:w="4001" w:type="dxa"/>
            <w:vAlign w:val="center"/>
          </w:tcPr>
          <w:p w14:paraId="337138B2"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A hulladék nem tartalmazhat szerves kötőanyagot</w:t>
            </w:r>
          </w:p>
        </w:tc>
      </w:tr>
      <w:tr w:rsidR="006D3B9E" w:rsidRPr="006D3B9E" w14:paraId="03813206" w14:textId="77777777" w:rsidTr="006D3B9E">
        <w:tc>
          <w:tcPr>
            <w:tcW w:w="1809" w:type="dxa"/>
            <w:vAlign w:val="center"/>
          </w:tcPr>
          <w:p w14:paraId="17AB5767"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15 01 07</w:t>
            </w:r>
          </w:p>
        </w:tc>
        <w:tc>
          <w:tcPr>
            <w:tcW w:w="3402" w:type="dxa"/>
            <w:vAlign w:val="center"/>
          </w:tcPr>
          <w:p w14:paraId="2344BE58"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Csomagolási üveg-hulladékok</w:t>
            </w:r>
          </w:p>
        </w:tc>
        <w:tc>
          <w:tcPr>
            <w:tcW w:w="4001" w:type="dxa"/>
            <w:vAlign w:val="center"/>
          </w:tcPr>
          <w:p w14:paraId="1F470B17" w14:textId="77777777" w:rsidR="006D3B9E" w:rsidRPr="006D3B9E" w:rsidRDefault="006D3B9E" w:rsidP="006D3B9E">
            <w:pPr>
              <w:spacing w:after="160" w:line="259" w:lineRule="auto"/>
              <w:jc w:val="center"/>
              <w:rPr>
                <w:rFonts w:ascii="Arial" w:hAnsi="Arial" w:cs="Arial"/>
                <w:sz w:val="16"/>
                <w:szCs w:val="16"/>
              </w:rPr>
            </w:pPr>
          </w:p>
        </w:tc>
      </w:tr>
      <w:tr w:rsidR="006D3B9E" w:rsidRPr="006D3B9E" w14:paraId="7E492488" w14:textId="77777777" w:rsidTr="006D3B9E">
        <w:tc>
          <w:tcPr>
            <w:tcW w:w="1809" w:type="dxa"/>
            <w:vAlign w:val="center"/>
          </w:tcPr>
          <w:p w14:paraId="0E68BA4B"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17 01 01</w:t>
            </w:r>
          </w:p>
        </w:tc>
        <w:tc>
          <w:tcPr>
            <w:tcW w:w="3402" w:type="dxa"/>
            <w:vAlign w:val="center"/>
          </w:tcPr>
          <w:p w14:paraId="62BF85DE"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Beton</w:t>
            </w:r>
          </w:p>
        </w:tc>
        <w:tc>
          <w:tcPr>
            <w:tcW w:w="4001" w:type="dxa"/>
            <w:vAlign w:val="center"/>
          </w:tcPr>
          <w:p w14:paraId="687F7F72"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Elkülönített építési és bontási hulladékok*</w:t>
            </w:r>
          </w:p>
        </w:tc>
      </w:tr>
      <w:tr w:rsidR="006D3B9E" w:rsidRPr="006D3B9E" w14:paraId="4ECE76BB" w14:textId="77777777" w:rsidTr="006D3B9E">
        <w:tc>
          <w:tcPr>
            <w:tcW w:w="1809" w:type="dxa"/>
            <w:vAlign w:val="center"/>
          </w:tcPr>
          <w:p w14:paraId="570B79BB"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17 01 02</w:t>
            </w:r>
          </w:p>
        </w:tc>
        <w:tc>
          <w:tcPr>
            <w:tcW w:w="3402" w:type="dxa"/>
            <w:vAlign w:val="center"/>
          </w:tcPr>
          <w:p w14:paraId="6E49CC61"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Tégla</w:t>
            </w:r>
          </w:p>
        </w:tc>
        <w:tc>
          <w:tcPr>
            <w:tcW w:w="4001" w:type="dxa"/>
            <w:vAlign w:val="center"/>
          </w:tcPr>
          <w:p w14:paraId="20329017"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Elkülönített építési és bontási hulladékok*</w:t>
            </w:r>
          </w:p>
        </w:tc>
      </w:tr>
      <w:tr w:rsidR="006D3B9E" w:rsidRPr="006D3B9E" w14:paraId="74F54D04" w14:textId="77777777" w:rsidTr="006D3B9E">
        <w:tc>
          <w:tcPr>
            <w:tcW w:w="1809" w:type="dxa"/>
            <w:vAlign w:val="center"/>
          </w:tcPr>
          <w:p w14:paraId="61ADBC7F"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17 01 03</w:t>
            </w:r>
          </w:p>
        </w:tc>
        <w:tc>
          <w:tcPr>
            <w:tcW w:w="3402" w:type="dxa"/>
            <w:vAlign w:val="center"/>
          </w:tcPr>
          <w:p w14:paraId="612548CC"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Cserép és kerámiák</w:t>
            </w:r>
          </w:p>
        </w:tc>
        <w:tc>
          <w:tcPr>
            <w:tcW w:w="4001" w:type="dxa"/>
            <w:vAlign w:val="center"/>
          </w:tcPr>
          <w:p w14:paraId="6E66B331"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Elkülönített építési és bontási hulladékok*</w:t>
            </w:r>
          </w:p>
        </w:tc>
      </w:tr>
      <w:tr w:rsidR="006D3B9E" w:rsidRPr="006D3B9E" w14:paraId="09492284" w14:textId="77777777" w:rsidTr="006D3B9E">
        <w:tc>
          <w:tcPr>
            <w:tcW w:w="1809" w:type="dxa"/>
            <w:vAlign w:val="center"/>
          </w:tcPr>
          <w:p w14:paraId="01989A27"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17 01 07</w:t>
            </w:r>
          </w:p>
        </w:tc>
        <w:tc>
          <w:tcPr>
            <w:tcW w:w="3402" w:type="dxa"/>
            <w:vAlign w:val="center"/>
          </w:tcPr>
          <w:p w14:paraId="565E7BD8"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Beton, tégla, cserép és kerámia keveréke</w:t>
            </w:r>
          </w:p>
        </w:tc>
        <w:tc>
          <w:tcPr>
            <w:tcW w:w="4001" w:type="dxa"/>
            <w:vAlign w:val="center"/>
          </w:tcPr>
          <w:p w14:paraId="01C1F7B9"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Elkülönített építési és bontási hulladékok*</w:t>
            </w:r>
          </w:p>
        </w:tc>
      </w:tr>
      <w:tr w:rsidR="006D3B9E" w:rsidRPr="006D3B9E" w14:paraId="40B22C81" w14:textId="77777777" w:rsidTr="006D3B9E">
        <w:tc>
          <w:tcPr>
            <w:tcW w:w="1809" w:type="dxa"/>
            <w:vAlign w:val="center"/>
          </w:tcPr>
          <w:p w14:paraId="55BDDF2C"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17 02 02</w:t>
            </w:r>
          </w:p>
        </w:tc>
        <w:tc>
          <w:tcPr>
            <w:tcW w:w="3402" w:type="dxa"/>
            <w:vAlign w:val="center"/>
          </w:tcPr>
          <w:p w14:paraId="702774D0"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Üveg</w:t>
            </w:r>
          </w:p>
        </w:tc>
        <w:tc>
          <w:tcPr>
            <w:tcW w:w="4001" w:type="dxa"/>
            <w:vAlign w:val="center"/>
          </w:tcPr>
          <w:p w14:paraId="34B93850" w14:textId="77777777" w:rsidR="006D3B9E" w:rsidRPr="006D3B9E" w:rsidRDefault="006D3B9E" w:rsidP="006D3B9E">
            <w:pPr>
              <w:spacing w:after="160" w:line="259" w:lineRule="auto"/>
              <w:jc w:val="center"/>
              <w:rPr>
                <w:rFonts w:ascii="Arial" w:hAnsi="Arial" w:cs="Arial"/>
                <w:sz w:val="16"/>
                <w:szCs w:val="16"/>
              </w:rPr>
            </w:pPr>
          </w:p>
        </w:tc>
      </w:tr>
      <w:tr w:rsidR="006D3B9E" w:rsidRPr="006D3B9E" w14:paraId="46F09E7B" w14:textId="77777777" w:rsidTr="006D3B9E">
        <w:tc>
          <w:tcPr>
            <w:tcW w:w="1809" w:type="dxa"/>
            <w:vAlign w:val="center"/>
          </w:tcPr>
          <w:p w14:paraId="0E6229BB"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17 05 04</w:t>
            </w:r>
          </w:p>
        </w:tc>
        <w:tc>
          <w:tcPr>
            <w:tcW w:w="3402" w:type="dxa"/>
            <w:vAlign w:val="center"/>
          </w:tcPr>
          <w:p w14:paraId="66E7AEBE"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Föld és kövek</w:t>
            </w:r>
          </w:p>
        </w:tc>
        <w:tc>
          <w:tcPr>
            <w:tcW w:w="4001" w:type="dxa"/>
            <w:vAlign w:val="center"/>
          </w:tcPr>
          <w:p w14:paraId="6127979F"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A hulladék nem tartalmazhatja a talaj humuszos rétegét, tőzeget, továbbá szennyezett területről származó földet, köveket</w:t>
            </w:r>
          </w:p>
        </w:tc>
      </w:tr>
      <w:tr w:rsidR="006D3B9E" w:rsidRPr="006D3B9E" w14:paraId="315F722C" w14:textId="77777777" w:rsidTr="006D3B9E">
        <w:tc>
          <w:tcPr>
            <w:tcW w:w="1809" w:type="dxa"/>
            <w:vAlign w:val="center"/>
          </w:tcPr>
          <w:p w14:paraId="17FCA7DB"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19 12 05</w:t>
            </w:r>
          </w:p>
        </w:tc>
        <w:tc>
          <w:tcPr>
            <w:tcW w:w="3402" w:type="dxa"/>
            <w:vAlign w:val="center"/>
          </w:tcPr>
          <w:p w14:paraId="52C047DC"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Üveg</w:t>
            </w:r>
          </w:p>
        </w:tc>
        <w:tc>
          <w:tcPr>
            <w:tcW w:w="4001" w:type="dxa"/>
            <w:vAlign w:val="center"/>
          </w:tcPr>
          <w:p w14:paraId="3591B1D1" w14:textId="77777777" w:rsidR="006D3B9E" w:rsidRPr="006D3B9E" w:rsidRDefault="006D3B9E" w:rsidP="006D3B9E">
            <w:pPr>
              <w:spacing w:after="160" w:line="259" w:lineRule="auto"/>
              <w:jc w:val="center"/>
              <w:rPr>
                <w:rFonts w:ascii="Arial" w:hAnsi="Arial" w:cs="Arial"/>
                <w:sz w:val="16"/>
                <w:szCs w:val="16"/>
              </w:rPr>
            </w:pPr>
          </w:p>
        </w:tc>
      </w:tr>
      <w:tr w:rsidR="006D3B9E" w:rsidRPr="006D3B9E" w14:paraId="6C12BA3D" w14:textId="77777777" w:rsidTr="006D3B9E">
        <w:tc>
          <w:tcPr>
            <w:tcW w:w="1809" w:type="dxa"/>
            <w:vAlign w:val="center"/>
          </w:tcPr>
          <w:p w14:paraId="35ABD442"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20 01 02</w:t>
            </w:r>
          </w:p>
        </w:tc>
        <w:tc>
          <w:tcPr>
            <w:tcW w:w="3402" w:type="dxa"/>
            <w:vAlign w:val="center"/>
          </w:tcPr>
          <w:p w14:paraId="1BFAAC63"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Üveg</w:t>
            </w:r>
          </w:p>
        </w:tc>
        <w:tc>
          <w:tcPr>
            <w:tcW w:w="4001" w:type="dxa"/>
            <w:vAlign w:val="center"/>
          </w:tcPr>
          <w:p w14:paraId="7AB42595"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Elkülönített üveg</w:t>
            </w:r>
          </w:p>
        </w:tc>
      </w:tr>
      <w:tr w:rsidR="006D3B9E" w:rsidRPr="006D3B9E" w14:paraId="52C2D393" w14:textId="77777777" w:rsidTr="006D3B9E">
        <w:tc>
          <w:tcPr>
            <w:tcW w:w="1809" w:type="dxa"/>
            <w:vAlign w:val="center"/>
          </w:tcPr>
          <w:p w14:paraId="257FB2C5"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20 02 02</w:t>
            </w:r>
          </w:p>
        </w:tc>
        <w:tc>
          <w:tcPr>
            <w:tcW w:w="3402" w:type="dxa"/>
            <w:vAlign w:val="center"/>
          </w:tcPr>
          <w:p w14:paraId="2EF9E5BE"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Talaj és kövek</w:t>
            </w:r>
          </w:p>
        </w:tc>
        <w:tc>
          <w:tcPr>
            <w:tcW w:w="4001" w:type="dxa"/>
            <w:vAlign w:val="center"/>
          </w:tcPr>
          <w:p w14:paraId="43EF6A03" w14:textId="77777777" w:rsidR="006D3B9E" w:rsidRPr="006D3B9E" w:rsidRDefault="006D3B9E" w:rsidP="006D3B9E">
            <w:pPr>
              <w:spacing w:after="160" w:line="259" w:lineRule="auto"/>
              <w:jc w:val="center"/>
              <w:rPr>
                <w:rFonts w:ascii="Arial" w:hAnsi="Arial" w:cs="Arial"/>
                <w:sz w:val="16"/>
                <w:szCs w:val="16"/>
              </w:rPr>
            </w:pPr>
            <w:r w:rsidRPr="006D3B9E">
              <w:rPr>
                <w:rFonts w:ascii="Arial" w:hAnsi="Arial" w:cs="Arial"/>
                <w:sz w:val="16"/>
                <w:szCs w:val="16"/>
              </w:rPr>
              <w:t>A hulladék csak kertekből, parkokból származhat, és nem lehet benne humusz, illetve tőzeg</w:t>
            </w:r>
          </w:p>
        </w:tc>
      </w:tr>
    </w:tbl>
    <w:p w14:paraId="173B8A1E" w14:textId="77777777" w:rsidR="006D3B9E" w:rsidRPr="006D3B9E" w:rsidRDefault="006D3B9E" w:rsidP="006D3B9E">
      <w:pPr>
        <w:jc w:val="center"/>
        <w:rPr>
          <w:rFonts w:ascii="Arial" w:hAnsi="Arial" w:cs="Arial"/>
          <w:sz w:val="20"/>
          <w:szCs w:val="20"/>
        </w:rPr>
      </w:pPr>
    </w:p>
    <w:p w14:paraId="622E60F6" w14:textId="77777777" w:rsidR="006D3B9E" w:rsidRPr="006D3B9E" w:rsidRDefault="006D3B9E" w:rsidP="006D3B9E">
      <w:pPr>
        <w:jc w:val="both"/>
        <w:rPr>
          <w:rFonts w:ascii="Arial" w:hAnsi="Arial" w:cs="Arial"/>
          <w:sz w:val="20"/>
          <w:szCs w:val="20"/>
        </w:rPr>
      </w:pPr>
      <w:r w:rsidRPr="006D3B9E">
        <w:rPr>
          <w:rFonts w:ascii="Arial" w:hAnsi="Arial" w:cs="Arial"/>
          <w:sz w:val="20"/>
          <w:szCs w:val="20"/>
        </w:rPr>
        <w:t>* Az elkülönített építési és bontási hulladékok kis mennyiségben más összetevőket (pl. fémek, műanyagok, talaj, szerves anyagok, fa, gumi stb.) is tartalmazhatnak. A hulladék eredetét ismerni kell.</w:t>
      </w:r>
    </w:p>
    <w:p w14:paraId="284AA2D2" w14:textId="77777777" w:rsidR="006D3B9E" w:rsidRPr="006D3B9E" w:rsidRDefault="006D3B9E" w:rsidP="006D3B9E">
      <w:pPr>
        <w:jc w:val="both"/>
        <w:rPr>
          <w:rFonts w:ascii="Arial" w:hAnsi="Arial" w:cs="Arial"/>
          <w:sz w:val="20"/>
          <w:szCs w:val="20"/>
        </w:rPr>
      </w:pPr>
      <w:r w:rsidRPr="006D3B9E">
        <w:rPr>
          <w:rFonts w:ascii="Arial" w:hAnsi="Arial" w:cs="Arial"/>
          <w:sz w:val="20"/>
          <w:szCs w:val="20"/>
        </w:rPr>
        <w:t>Nem tekinthető inert építési és bontási hulladéknak az a hulladék, amely külön jogszabályban szabályozott szerves vagy szervetlen veszélyes összetevőket (pl. azbesztet, bitument) tartalmaz vagy az építés során ilyen anyagokat használtak, illetve az épületben olyan termékeket tároltak vagy gyártottak, amelyekkel az építőanyagok szennyeződhettek, és emiatt a hulladék már nem tekinthető inertnek.</w:t>
      </w:r>
    </w:p>
    <w:p w14:paraId="780656C3" w14:textId="77777777" w:rsidR="006D3B9E" w:rsidRPr="00B71422" w:rsidRDefault="006D3B9E" w:rsidP="007608F5">
      <w:pPr>
        <w:jc w:val="center"/>
        <w:rPr>
          <w:rFonts w:ascii="Arial" w:hAnsi="Arial" w:cs="Arial"/>
          <w:sz w:val="20"/>
          <w:szCs w:val="20"/>
        </w:rPr>
      </w:pPr>
    </w:p>
    <w:sectPr w:rsidR="006D3B9E" w:rsidRPr="00B714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A6538"/>
    <w:multiLevelType w:val="hybridMultilevel"/>
    <w:tmpl w:val="07BE8686"/>
    <w:lvl w:ilvl="0" w:tplc="9AF2C39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A8A789F"/>
    <w:multiLevelType w:val="hybridMultilevel"/>
    <w:tmpl w:val="8256A4EC"/>
    <w:lvl w:ilvl="0" w:tplc="9AF2C39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CD4335"/>
    <w:multiLevelType w:val="hybridMultilevel"/>
    <w:tmpl w:val="1D909642"/>
    <w:lvl w:ilvl="0" w:tplc="9AF2C39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79553FF"/>
    <w:multiLevelType w:val="hybridMultilevel"/>
    <w:tmpl w:val="3A0A0148"/>
    <w:lvl w:ilvl="0" w:tplc="9AF2C39A">
      <w:start w:val="1"/>
      <w:numFmt w:val="bullet"/>
      <w:lvlText w:val="-"/>
      <w:lvlJc w:val="left"/>
      <w:pPr>
        <w:ind w:left="720"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7519768">
    <w:abstractNumId w:val="0"/>
  </w:num>
  <w:num w:numId="2" w16cid:durableId="205027790">
    <w:abstractNumId w:val="3"/>
  </w:num>
  <w:num w:numId="3" w16cid:durableId="1683123043">
    <w:abstractNumId w:val="1"/>
  </w:num>
  <w:num w:numId="4" w16cid:durableId="213204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F5"/>
    <w:rsid w:val="00053CB1"/>
    <w:rsid w:val="00056679"/>
    <w:rsid w:val="00075687"/>
    <w:rsid w:val="000C5129"/>
    <w:rsid w:val="00123FCA"/>
    <w:rsid w:val="00217150"/>
    <w:rsid w:val="0023606F"/>
    <w:rsid w:val="002666C4"/>
    <w:rsid w:val="0031181B"/>
    <w:rsid w:val="00384A28"/>
    <w:rsid w:val="003E6634"/>
    <w:rsid w:val="004155BF"/>
    <w:rsid w:val="004630E9"/>
    <w:rsid w:val="004A4B17"/>
    <w:rsid w:val="005948BE"/>
    <w:rsid w:val="005B2E14"/>
    <w:rsid w:val="005D3A3F"/>
    <w:rsid w:val="005D6134"/>
    <w:rsid w:val="00630048"/>
    <w:rsid w:val="006D3B9E"/>
    <w:rsid w:val="007608F5"/>
    <w:rsid w:val="007F76B3"/>
    <w:rsid w:val="009A1210"/>
    <w:rsid w:val="009A39A9"/>
    <w:rsid w:val="009D3D3F"/>
    <w:rsid w:val="009D6670"/>
    <w:rsid w:val="00A240DB"/>
    <w:rsid w:val="00A62DEA"/>
    <w:rsid w:val="00A765CA"/>
    <w:rsid w:val="00B71422"/>
    <w:rsid w:val="00C12020"/>
    <w:rsid w:val="00CA7885"/>
    <w:rsid w:val="00CE2379"/>
    <w:rsid w:val="00D00EC3"/>
    <w:rsid w:val="00E07269"/>
    <w:rsid w:val="00E4791B"/>
    <w:rsid w:val="00FA2B79"/>
    <w:rsid w:val="00FE35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78D0"/>
  <w15:chartTrackingRefBased/>
  <w15:docId w15:val="{DA09AA6D-B58D-49AF-A5D6-C692D7B1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384A28"/>
    <w:pPr>
      <w:spacing w:after="0" w:line="240" w:lineRule="auto"/>
    </w:pPr>
  </w:style>
  <w:style w:type="paragraph" w:styleId="Listaszerbekezds">
    <w:name w:val="List Paragraph"/>
    <w:basedOn w:val="Norml"/>
    <w:uiPriority w:val="34"/>
    <w:qFormat/>
    <w:rsid w:val="00D00EC3"/>
    <w:pPr>
      <w:ind w:left="720"/>
      <w:contextualSpacing/>
    </w:pPr>
    <w:rPr>
      <w:kern w:val="0"/>
      <w14:ligatures w14:val="none"/>
    </w:rPr>
  </w:style>
  <w:style w:type="paragraph" w:styleId="Jegyzetszveg">
    <w:name w:val="annotation text"/>
    <w:basedOn w:val="Norml"/>
    <w:link w:val="JegyzetszvegChar"/>
    <w:uiPriority w:val="99"/>
    <w:unhideWhenUsed/>
    <w:rsid w:val="00D00EC3"/>
    <w:pPr>
      <w:spacing w:line="240" w:lineRule="auto"/>
    </w:pPr>
    <w:rPr>
      <w:sz w:val="20"/>
      <w:szCs w:val="20"/>
    </w:rPr>
  </w:style>
  <w:style w:type="character" w:customStyle="1" w:styleId="JegyzetszvegChar">
    <w:name w:val="Jegyzetszöveg Char"/>
    <w:basedOn w:val="Bekezdsalapbettpusa"/>
    <w:link w:val="Jegyzetszveg"/>
    <w:uiPriority w:val="99"/>
    <w:rsid w:val="00D00EC3"/>
    <w:rPr>
      <w:sz w:val="20"/>
      <w:szCs w:val="20"/>
    </w:rPr>
  </w:style>
  <w:style w:type="character" w:styleId="Jegyzethivatkozs">
    <w:name w:val="annotation reference"/>
    <w:uiPriority w:val="99"/>
    <w:unhideWhenUsed/>
    <w:rsid w:val="00D00EC3"/>
    <w:rPr>
      <w:sz w:val="16"/>
      <w:szCs w:val="16"/>
    </w:rPr>
  </w:style>
  <w:style w:type="paragraph" w:styleId="Megjegyzstrgya">
    <w:name w:val="annotation subject"/>
    <w:basedOn w:val="Jegyzetszveg"/>
    <w:next w:val="Jegyzetszveg"/>
    <w:link w:val="MegjegyzstrgyaChar"/>
    <w:uiPriority w:val="99"/>
    <w:semiHidden/>
    <w:unhideWhenUsed/>
    <w:rsid w:val="00C12020"/>
    <w:rPr>
      <w:b/>
      <w:bCs/>
    </w:rPr>
  </w:style>
  <w:style w:type="character" w:customStyle="1" w:styleId="MegjegyzstrgyaChar">
    <w:name w:val="Megjegyzés tárgya Char"/>
    <w:basedOn w:val="JegyzetszvegChar"/>
    <w:link w:val="Megjegyzstrgya"/>
    <w:uiPriority w:val="99"/>
    <w:semiHidden/>
    <w:rsid w:val="00C12020"/>
    <w:rPr>
      <w:b/>
      <w:bCs/>
      <w:sz w:val="20"/>
      <w:szCs w:val="20"/>
    </w:rPr>
  </w:style>
  <w:style w:type="table" w:styleId="Rcsostblzat">
    <w:name w:val="Table Grid"/>
    <w:basedOn w:val="Normltblzat"/>
    <w:uiPriority w:val="39"/>
    <w:rsid w:val="006D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072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kf.hu/storage/app/media/uploaded-files/prhkarak2024-0301.pdf" TargetMode="External"/><Relationship Id="rId5" Type="http://schemas.openxmlformats.org/officeDocument/2006/relationships/hyperlink" Target="https://www.fkf.hu/dijszabasok/hulladek-artalmatlanitasi-dijak"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1315</Words>
  <Characters>9076</Characters>
  <Application>Microsoft Office Word</Application>
  <DocSecurity>4</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BKM Nonprofit ZRt.</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Földvári Péter</dc:creator>
  <cp:keywords/>
  <dc:description/>
  <cp:lastModifiedBy>Mészáros Ákos</cp:lastModifiedBy>
  <cp:revision>2</cp:revision>
  <dcterms:created xsi:type="dcterms:W3CDTF">2024-10-07T11:45:00Z</dcterms:created>
  <dcterms:modified xsi:type="dcterms:W3CDTF">2024-10-07T11:45:00Z</dcterms:modified>
</cp:coreProperties>
</file>